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4E8E4CE" w:rsidR="006C08A4" w:rsidRPr="00243E8A" w:rsidRDefault="001667D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243E8A">
        <w:rPr>
          <w:rFonts w:ascii="Tahoma" w:hAnsi="Tahoma" w:cs="Tahoma"/>
          <w:b/>
          <w:bCs/>
          <w:szCs w:val="20"/>
        </w:rPr>
        <w:t>Vysoká škola báňská – Technická univerzita Ostrava</w:t>
      </w:r>
    </w:p>
    <w:p w14:paraId="7A23AB83" w14:textId="184AE6B0" w:rsidR="006C08A4" w:rsidRPr="00243E8A"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43E8A">
        <w:rPr>
          <w:rFonts w:ascii="Tahoma" w:hAnsi="Tahoma" w:cs="Tahoma"/>
          <w:szCs w:val="20"/>
        </w:rPr>
        <w:t>se sídlem:</w:t>
      </w:r>
      <w:r w:rsidRPr="00243E8A">
        <w:rPr>
          <w:rFonts w:ascii="Tahoma" w:hAnsi="Tahoma" w:cs="Tahoma"/>
          <w:szCs w:val="20"/>
        </w:rPr>
        <w:tab/>
      </w:r>
      <w:r w:rsidR="001667D0" w:rsidRPr="00243E8A">
        <w:rPr>
          <w:rFonts w:ascii="Tahoma" w:hAnsi="Tahoma" w:cs="Tahoma"/>
          <w:szCs w:val="20"/>
        </w:rPr>
        <w:t>17. listopadu 2172/15, 708 00 Ostrava-Poruba</w:t>
      </w:r>
    </w:p>
    <w:p w14:paraId="4577CD15" w14:textId="40DFD7A5" w:rsidR="006C08A4" w:rsidRPr="00243E8A"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243E8A">
        <w:rPr>
          <w:rFonts w:ascii="Tahoma" w:hAnsi="Tahoma" w:cs="Tahoma"/>
          <w:szCs w:val="20"/>
        </w:rPr>
        <w:t>zastoupena:</w:t>
      </w:r>
      <w:r w:rsidRPr="00243E8A">
        <w:rPr>
          <w:rFonts w:ascii="Tahoma" w:hAnsi="Tahoma" w:cs="Tahoma"/>
          <w:szCs w:val="20"/>
        </w:rPr>
        <w:tab/>
      </w:r>
      <w:r w:rsidR="001667D0" w:rsidRPr="00243E8A">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43E8A">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03E2A2A3"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w:t>
      </w:r>
      <w:r w:rsidRPr="00243E8A">
        <w:rPr>
          <w:rFonts w:ascii="Tahoma" w:hAnsi="Tahoma" w:cs="Tahoma"/>
          <w:szCs w:val="20"/>
        </w:rPr>
        <w:t>tuto smlouvu za účelem realizace projektu „</w:t>
      </w:r>
      <w:r w:rsidR="001667D0" w:rsidRPr="00243E8A">
        <w:rPr>
          <w:rFonts w:ascii="Tahoma" w:hAnsi="Tahoma" w:cs="Tahoma"/>
          <w:szCs w:val="20"/>
        </w:rPr>
        <w:t xml:space="preserve">REFRESH – </w:t>
      </w:r>
      <w:proofErr w:type="spellStart"/>
      <w:r w:rsidR="001667D0" w:rsidRPr="00243E8A">
        <w:rPr>
          <w:rFonts w:ascii="Tahoma" w:hAnsi="Tahoma" w:cs="Tahoma"/>
          <w:szCs w:val="20"/>
        </w:rPr>
        <w:t>Research</w:t>
      </w:r>
      <w:proofErr w:type="spellEnd"/>
      <w:r w:rsidR="001667D0" w:rsidRPr="00243E8A">
        <w:rPr>
          <w:rFonts w:ascii="Tahoma" w:hAnsi="Tahoma" w:cs="Tahoma"/>
          <w:szCs w:val="20"/>
        </w:rPr>
        <w:t xml:space="preserve"> Excellence </w:t>
      </w:r>
      <w:proofErr w:type="spellStart"/>
      <w:r w:rsidR="001667D0" w:rsidRPr="00243E8A">
        <w:rPr>
          <w:rFonts w:ascii="Tahoma" w:hAnsi="Tahoma" w:cs="Tahoma"/>
          <w:szCs w:val="20"/>
        </w:rPr>
        <w:t>For</w:t>
      </w:r>
      <w:proofErr w:type="spellEnd"/>
      <w:r w:rsidR="001667D0" w:rsidRPr="00243E8A">
        <w:rPr>
          <w:rFonts w:ascii="Tahoma" w:hAnsi="Tahoma" w:cs="Tahoma"/>
          <w:szCs w:val="20"/>
        </w:rPr>
        <w:t xml:space="preserve"> </w:t>
      </w:r>
      <w:proofErr w:type="spellStart"/>
      <w:r w:rsidR="001667D0" w:rsidRPr="00243E8A">
        <w:rPr>
          <w:rFonts w:ascii="Tahoma" w:hAnsi="Tahoma" w:cs="Tahoma"/>
          <w:szCs w:val="20"/>
        </w:rPr>
        <w:t>REgion</w:t>
      </w:r>
      <w:proofErr w:type="spellEnd"/>
      <w:r w:rsidR="001667D0" w:rsidRPr="00243E8A">
        <w:rPr>
          <w:rFonts w:ascii="Tahoma" w:hAnsi="Tahoma" w:cs="Tahoma"/>
          <w:szCs w:val="20"/>
        </w:rPr>
        <w:t xml:space="preserve"> </w:t>
      </w:r>
      <w:proofErr w:type="spellStart"/>
      <w:r w:rsidR="001667D0" w:rsidRPr="00243E8A">
        <w:rPr>
          <w:rFonts w:ascii="Tahoma" w:hAnsi="Tahoma" w:cs="Tahoma"/>
          <w:szCs w:val="20"/>
        </w:rPr>
        <w:t>Sustainability</w:t>
      </w:r>
      <w:proofErr w:type="spellEnd"/>
      <w:r w:rsidR="001667D0" w:rsidRPr="00243E8A">
        <w:rPr>
          <w:rFonts w:ascii="Tahoma" w:hAnsi="Tahoma" w:cs="Tahoma"/>
          <w:szCs w:val="20"/>
        </w:rPr>
        <w:t xml:space="preserve"> and High-tech </w:t>
      </w:r>
      <w:proofErr w:type="spellStart"/>
      <w:r w:rsidR="001667D0" w:rsidRPr="00243E8A">
        <w:rPr>
          <w:rFonts w:ascii="Tahoma" w:hAnsi="Tahoma" w:cs="Tahoma"/>
          <w:szCs w:val="20"/>
        </w:rPr>
        <w:t>Industries</w:t>
      </w:r>
      <w:proofErr w:type="spellEnd"/>
      <w:r w:rsidRPr="00243E8A">
        <w:rPr>
          <w:rFonts w:ascii="Tahoma" w:hAnsi="Tahoma" w:cs="Tahoma"/>
          <w:szCs w:val="20"/>
        </w:rPr>
        <w:t>“</w:t>
      </w:r>
      <w:r w:rsidR="00E260FB" w:rsidRPr="00243E8A">
        <w:rPr>
          <w:rFonts w:ascii="Tahoma" w:hAnsi="Tahoma" w:cs="Tahoma"/>
          <w:szCs w:val="20"/>
        </w:rPr>
        <w:t>,</w:t>
      </w:r>
      <w:r w:rsidR="00E260FB" w:rsidRPr="00243E8A">
        <w:t xml:space="preserve"> </w:t>
      </w:r>
      <w:proofErr w:type="spellStart"/>
      <w:r w:rsidR="00E260FB" w:rsidRPr="00243E8A">
        <w:rPr>
          <w:rFonts w:ascii="Tahoma" w:hAnsi="Tahoma" w:cs="Tahoma"/>
          <w:szCs w:val="20"/>
        </w:rPr>
        <w:t>reg</w:t>
      </w:r>
      <w:proofErr w:type="spellEnd"/>
      <w:r w:rsidR="00E260FB" w:rsidRPr="00243E8A">
        <w:rPr>
          <w:rFonts w:ascii="Tahoma" w:hAnsi="Tahoma" w:cs="Tahoma"/>
          <w:szCs w:val="20"/>
        </w:rPr>
        <w:t xml:space="preserve">. č. </w:t>
      </w:r>
      <w:r w:rsidR="001667D0" w:rsidRPr="00243E8A">
        <w:rPr>
          <w:rFonts w:ascii="Tahoma" w:hAnsi="Tahoma" w:cs="Tahoma"/>
          <w:szCs w:val="20"/>
        </w:rPr>
        <w:t>CZ.10.03.01/00/22_003/0000048</w:t>
      </w:r>
      <w:r w:rsidR="0073231C" w:rsidRPr="00243E8A">
        <w:rPr>
          <w:rFonts w:ascii="Tahoma" w:hAnsi="Tahoma" w:cs="Tahoma"/>
          <w:szCs w:val="20"/>
        </w:rPr>
        <w:t xml:space="preserve"> </w:t>
      </w:r>
      <w:r w:rsidRPr="00243E8A">
        <w:rPr>
          <w:rFonts w:ascii="Tahoma" w:hAnsi="Tahoma" w:cs="Tahoma"/>
          <w:szCs w:val="20"/>
        </w:rPr>
        <w:t>(dále jen „Projekt“)</w:t>
      </w:r>
      <w:r w:rsidR="000F1E2A" w:rsidRPr="00243E8A">
        <w:rPr>
          <w:rFonts w:ascii="Tahoma" w:hAnsi="Tahoma" w:cs="Tahoma"/>
          <w:szCs w:val="20"/>
        </w:rPr>
        <w:t xml:space="preserve">, který </w:t>
      </w:r>
      <w:r w:rsidR="008D20B2" w:rsidRPr="00243E8A">
        <w:rPr>
          <w:rFonts w:ascii="Tahoma" w:hAnsi="Tahoma" w:cs="Tahoma"/>
          <w:szCs w:val="20"/>
        </w:rPr>
        <w:t>je</w:t>
      </w:r>
      <w:r w:rsidR="000F1E2A" w:rsidRPr="00243E8A">
        <w:rPr>
          <w:rFonts w:ascii="Tahoma" w:hAnsi="Tahoma" w:cs="Tahoma"/>
          <w:szCs w:val="20"/>
        </w:rPr>
        <w:t xml:space="preserve"> </w:t>
      </w:r>
      <w:r w:rsidR="008D20B2" w:rsidRPr="00243E8A">
        <w:rPr>
          <w:rFonts w:ascii="Tahoma" w:hAnsi="Tahoma" w:cs="Tahoma"/>
          <w:szCs w:val="20"/>
        </w:rPr>
        <w:t xml:space="preserve">spolufinancován </w:t>
      </w:r>
      <w:r w:rsidR="001667D0" w:rsidRPr="00243E8A">
        <w:rPr>
          <w:rFonts w:ascii="Tahoma" w:hAnsi="Tahoma" w:cs="Tahoma"/>
          <w:szCs w:val="20"/>
        </w:rPr>
        <w:t>Evropskou unií – Fondem spravedlivé transformace v rámci Operačního programu Spravedlivá transformace</w:t>
      </w:r>
      <w:r w:rsidR="000A01E8" w:rsidRPr="00243E8A">
        <w:rPr>
          <w:rFonts w:ascii="Tahoma" w:hAnsi="Tahoma" w:cs="Tahoma"/>
          <w:szCs w:val="20"/>
        </w:rPr>
        <w:t xml:space="preserve"> </w:t>
      </w:r>
      <w:r w:rsidR="000F1E2A" w:rsidRPr="00243E8A">
        <w:rPr>
          <w:rFonts w:ascii="Tahoma" w:hAnsi="Tahoma" w:cs="Tahoma"/>
          <w:szCs w:val="20"/>
        </w:rPr>
        <w:t>(dále jen „</w:t>
      </w:r>
      <w:r w:rsidR="001667D0" w:rsidRPr="00243E8A">
        <w:rPr>
          <w:rFonts w:ascii="Tahoma" w:hAnsi="Tahoma" w:cs="Tahoma"/>
          <w:szCs w:val="20"/>
        </w:rPr>
        <w:t>OP ST</w:t>
      </w:r>
      <w:r w:rsidR="000F1E2A" w:rsidRPr="00243E8A">
        <w:rPr>
          <w:rFonts w:ascii="Tahoma" w:hAnsi="Tahoma" w:cs="Tahoma"/>
          <w:szCs w:val="20"/>
        </w:rPr>
        <w:t>“)</w:t>
      </w:r>
      <w:r w:rsidRPr="00243E8A">
        <w:rPr>
          <w:rFonts w:ascii="Tahoma" w:hAnsi="Tahoma" w:cs="Tahoma"/>
          <w:szCs w:val="20"/>
        </w:rPr>
        <w:t xml:space="preserve">. Dotace jsou poskytovány prostřednictvím </w:t>
      </w:r>
      <w:r w:rsidR="001667D0" w:rsidRPr="00243E8A">
        <w:rPr>
          <w:rFonts w:ascii="Tahoma" w:hAnsi="Tahoma" w:cs="Tahoma"/>
          <w:szCs w:val="20"/>
        </w:rPr>
        <w:t>Ministerstva životního prostředí a Státního fondu životního prostředí</w:t>
      </w:r>
      <w:r w:rsidR="000A01E8" w:rsidRPr="00243E8A">
        <w:rPr>
          <w:rFonts w:ascii="Tahoma" w:hAnsi="Tahoma" w:cs="Tahoma"/>
          <w:szCs w:val="20"/>
        </w:rPr>
        <w:t xml:space="preserve"> </w:t>
      </w:r>
      <w:r w:rsidRPr="00243E8A">
        <w:rPr>
          <w:rFonts w:ascii="Tahoma" w:hAnsi="Tahoma" w:cs="Tahoma"/>
          <w:szCs w:val="20"/>
        </w:rPr>
        <w:t xml:space="preserve">(dále jen „Řídící orgán </w:t>
      </w:r>
      <w:r w:rsidR="001667D0" w:rsidRPr="00243E8A">
        <w:rPr>
          <w:rFonts w:ascii="Tahoma" w:hAnsi="Tahoma" w:cs="Tahoma"/>
          <w:szCs w:val="20"/>
        </w:rPr>
        <w:t>OP ST</w:t>
      </w:r>
      <w:r w:rsidRPr="00243E8A">
        <w:rPr>
          <w:rFonts w:ascii="Tahoma" w:hAnsi="Tahoma" w:cs="Tahoma"/>
          <w:szCs w:val="20"/>
        </w:rPr>
        <w:t xml:space="preserve">“). Objednatel za tímto účelem zadal veřejnou zakázku s názvem </w:t>
      </w:r>
      <w:bookmarkStart w:id="2" w:name="_Hlk150085611"/>
      <w:r w:rsidRPr="00243E8A">
        <w:rPr>
          <w:rFonts w:ascii="Tahoma" w:hAnsi="Tahoma" w:cs="Tahoma"/>
          <w:szCs w:val="20"/>
        </w:rPr>
        <w:t>„</w:t>
      </w:r>
      <w:r w:rsidR="001667D0" w:rsidRPr="00243E8A">
        <w:rPr>
          <w:rFonts w:ascii="Tahoma" w:hAnsi="Tahoma" w:cs="Tahoma"/>
        </w:rPr>
        <w:t>Sestava vakuové aparatury</w:t>
      </w:r>
      <w:r w:rsidRPr="00243E8A">
        <w:rPr>
          <w:rFonts w:ascii="Tahoma" w:hAnsi="Tahoma" w:cs="Tahoma"/>
          <w:szCs w:val="20"/>
        </w:rPr>
        <w:t>“</w:t>
      </w:r>
      <w:r w:rsidR="009D07CF" w:rsidRPr="00243E8A">
        <w:rPr>
          <w:rFonts w:ascii="Tahoma" w:hAnsi="Tahoma" w:cs="Tahoma"/>
          <w:szCs w:val="20"/>
        </w:rPr>
        <w:t xml:space="preserve"> </w:t>
      </w:r>
      <w:bookmarkEnd w:id="2"/>
      <w:r w:rsidRPr="00243E8A">
        <w:rPr>
          <w:rFonts w:ascii="Tahoma" w:hAnsi="Tahoma" w:cs="Tahoma"/>
          <w:szCs w:val="20"/>
        </w:rPr>
        <w:t>(dále jen „Veřejná zakázka“) dle</w:t>
      </w:r>
      <w:r w:rsidR="009D07CF" w:rsidRPr="00243E8A">
        <w:rPr>
          <w:rFonts w:ascii="Tahoma" w:hAnsi="Tahoma" w:cs="Tahoma"/>
          <w:szCs w:val="20"/>
        </w:rPr>
        <w:t xml:space="preserve"> zákona 13</w:t>
      </w:r>
      <w:r w:rsidR="00FF5901" w:rsidRPr="00243E8A">
        <w:rPr>
          <w:rFonts w:ascii="Tahoma" w:hAnsi="Tahoma" w:cs="Tahoma"/>
          <w:szCs w:val="20"/>
        </w:rPr>
        <w:t>4</w:t>
      </w:r>
      <w:r w:rsidR="009D07CF" w:rsidRPr="00243E8A">
        <w:rPr>
          <w:rFonts w:ascii="Tahoma" w:hAnsi="Tahoma" w:cs="Tahoma"/>
          <w:szCs w:val="20"/>
        </w:rPr>
        <w:t>/20</w:t>
      </w:r>
      <w:r w:rsidR="00FF5901" w:rsidRPr="00243E8A">
        <w:rPr>
          <w:rFonts w:ascii="Tahoma" w:hAnsi="Tahoma" w:cs="Tahoma"/>
          <w:szCs w:val="20"/>
        </w:rPr>
        <w:t>1</w:t>
      </w:r>
      <w:r w:rsidR="009D07CF" w:rsidRPr="00243E8A">
        <w:rPr>
          <w:rFonts w:ascii="Tahoma" w:hAnsi="Tahoma" w:cs="Tahoma"/>
          <w:szCs w:val="20"/>
        </w:rPr>
        <w:t xml:space="preserve">6 Sb., </w:t>
      </w:r>
      <w:r w:rsidRPr="00243E8A">
        <w:rPr>
          <w:rFonts w:ascii="Tahoma" w:hAnsi="Tahoma" w:cs="Tahoma"/>
          <w:szCs w:val="20"/>
        </w:rPr>
        <w:t>o</w:t>
      </w:r>
      <w:r w:rsidR="009D07CF" w:rsidRPr="00243E8A">
        <w:rPr>
          <w:rFonts w:ascii="Tahoma" w:hAnsi="Tahoma" w:cs="Tahoma"/>
          <w:szCs w:val="20"/>
        </w:rPr>
        <w:t xml:space="preserve"> </w:t>
      </w:r>
      <w:r w:rsidR="00FF5901" w:rsidRPr="00243E8A">
        <w:rPr>
          <w:rFonts w:ascii="Tahoma" w:hAnsi="Tahoma" w:cs="Tahoma"/>
          <w:szCs w:val="20"/>
        </w:rPr>
        <w:t xml:space="preserve">zadávání </w:t>
      </w:r>
      <w:r w:rsidRPr="00243E8A">
        <w:rPr>
          <w:rFonts w:ascii="Tahoma" w:hAnsi="Tahoma" w:cs="Tahoma"/>
          <w:szCs w:val="20"/>
        </w:rPr>
        <w:t>veřejných zakáz</w:t>
      </w:r>
      <w:r w:rsidR="00FF5901" w:rsidRPr="00243E8A">
        <w:rPr>
          <w:rFonts w:ascii="Tahoma" w:hAnsi="Tahoma" w:cs="Tahoma"/>
          <w:szCs w:val="20"/>
        </w:rPr>
        <w:t>ek</w:t>
      </w:r>
      <w:r w:rsidRPr="00243E8A">
        <w:rPr>
          <w:rFonts w:ascii="Tahoma" w:hAnsi="Tahoma" w:cs="Tahoma"/>
          <w:szCs w:val="20"/>
        </w:rPr>
        <w:t>, ve znění pozdějších předpisů (dále jen „Z</w:t>
      </w:r>
      <w:r w:rsidR="00FF5901" w:rsidRPr="00243E8A">
        <w:rPr>
          <w:rFonts w:ascii="Tahoma" w:hAnsi="Tahoma" w:cs="Tahoma"/>
          <w:szCs w:val="20"/>
        </w:rPr>
        <w:t>Z</w:t>
      </w:r>
      <w:r w:rsidRPr="00243E8A">
        <w:rPr>
          <w:rFonts w:ascii="Tahoma" w:hAnsi="Tahoma" w:cs="Tahoma"/>
          <w:szCs w:val="20"/>
        </w:rPr>
        <w:t>VZ“).</w:t>
      </w:r>
      <w:r w:rsidR="00983485" w:rsidRPr="00243E8A">
        <w:rPr>
          <w:rFonts w:ascii="Tahoma" w:hAnsi="Tahoma" w:cs="Tahoma"/>
          <w:szCs w:val="20"/>
        </w:rPr>
        <w:t xml:space="preserve"> </w:t>
      </w:r>
      <w:r w:rsidRPr="00243E8A">
        <w:rPr>
          <w:rFonts w:ascii="Tahoma" w:hAnsi="Tahoma" w:cs="Tahoma"/>
          <w:szCs w:val="20"/>
        </w:rPr>
        <w:t xml:space="preserve">Na základě tohoto zadávacího řízení pak byla pro realizaci Veřejné zakázky vybrána jako nejvhodnější nabídka </w:t>
      </w:r>
      <w:r w:rsidR="00DB3230" w:rsidRPr="00243E8A">
        <w:rPr>
          <w:rFonts w:ascii="Tahoma" w:hAnsi="Tahoma" w:cs="Tahoma"/>
          <w:szCs w:val="20"/>
        </w:rPr>
        <w:t>Dodavatele</w:t>
      </w:r>
      <w:r w:rsidRPr="00243E8A">
        <w:rPr>
          <w:rFonts w:ascii="Tahoma" w:hAnsi="Tahoma" w:cs="Tahoma"/>
          <w:szCs w:val="20"/>
        </w:rPr>
        <w:t xml:space="preserve"> v souladu s Z</w:t>
      </w:r>
      <w:r w:rsidR="00FF5901" w:rsidRPr="00243E8A">
        <w:rPr>
          <w:rFonts w:ascii="Tahoma" w:hAnsi="Tahoma" w:cs="Tahoma"/>
          <w:szCs w:val="20"/>
        </w:rPr>
        <w:t>Z</w:t>
      </w:r>
      <w:r w:rsidRPr="00243E8A">
        <w:rPr>
          <w:rFonts w:ascii="Tahoma" w:hAnsi="Tahoma" w:cs="Tahoma"/>
          <w:szCs w:val="20"/>
        </w:rPr>
        <w:t>VZ.</w:t>
      </w:r>
      <w:r w:rsidRPr="007E2419">
        <w:rPr>
          <w:rFonts w:ascii="Tahoma" w:hAnsi="Tahoma" w:cs="Tahoma"/>
          <w:szCs w:val="20"/>
        </w:rPr>
        <w:t xml:space="preserve">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8228EC9"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243E8A">
        <w:rPr>
          <w:rFonts w:ascii="Tahoma" w:hAnsi="Tahoma" w:cs="Tahoma"/>
          <w:szCs w:val="20"/>
        </w:rPr>
        <w:t>Objednatel</w:t>
      </w:r>
      <w:r w:rsidRPr="00243E8A">
        <w:rPr>
          <w:rFonts w:ascii="Tahoma" w:hAnsi="Tahoma" w:cs="Tahoma"/>
          <w:szCs w:val="20"/>
        </w:rPr>
        <w:t>i dodat</w:t>
      </w:r>
      <w:r w:rsidR="003B1F67" w:rsidRPr="00243E8A">
        <w:t xml:space="preserve"> </w:t>
      </w:r>
      <w:r w:rsidR="001667D0" w:rsidRPr="00243E8A">
        <w:rPr>
          <w:rFonts w:ascii="Tahoma" w:hAnsi="Tahoma" w:cs="Tahoma"/>
          <w:b/>
          <w:bCs/>
          <w:szCs w:val="20"/>
        </w:rPr>
        <w:t>sestavu vakuové aparatury</w:t>
      </w:r>
      <w:r w:rsidR="00306DE8" w:rsidRPr="00243E8A">
        <w:rPr>
          <w:rFonts w:ascii="Tahoma" w:hAnsi="Tahoma" w:cs="Tahoma"/>
          <w:b/>
          <w:szCs w:val="20"/>
        </w:rPr>
        <w:t xml:space="preserve"> </w:t>
      </w:r>
      <w:r w:rsidR="003C120B" w:rsidRPr="00243E8A">
        <w:rPr>
          <w:rFonts w:ascii="Tahoma" w:hAnsi="Tahoma" w:cs="Tahoma"/>
          <w:szCs w:val="20"/>
        </w:rPr>
        <w:t>(</w:t>
      </w:r>
      <w:r w:rsidR="006C08A4" w:rsidRPr="00243E8A">
        <w:rPr>
          <w:rFonts w:ascii="Tahoma" w:hAnsi="Tahoma" w:cs="Tahoma"/>
          <w:szCs w:val="20"/>
        </w:rPr>
        <w:t>dále jen „Plnění“</w:t>
      </w:r>
      <w:r w:rsidR="00E423B3" w:rsidRPr="00243E8A">
        <w:rPr>
          <w:rFonts w:ascii="Tahoma" w:hAnsi="Tahoma" w:cs="Tahoma"/>
          <w:szCs w:val="20"/>
        </w:rPr>
        <w:t xml:space="preserve"> či „zboží“</w:t>
      </w:r>
      <w:r w:rsidR="006C08A4" w:rsidRPr="00243E8A">
        <w:rPr>
          <w:rFonts w:ascii="Tahoma" w:hAnsi="Tahoma" w:cs="Tahoma"/>
          <w:szCs w:val="20"/>
        </w:rPr>
        <w:t>), přičemž podrobná specifikace Plnění je uvedena v příloze č. 1 – Technická specifikace, která tvoří nedílnou součást této Smlouv</w:t>
      </w:r>
      <w:r w:rsidR="006C08A4" w:rsidRPr="00E90182">
        <w:rPr>
          <w:rFonts w:ascii="Tahoma" w:hAnsi="Tahoma" w:cs="Tahoma"/>
          <w:szCs w:val="20"/>
        </w:rPr>
        <w:t xml:space="preserve">y. </w:t>
      </w:r>
    </w:p>
    <w:p w14:paraId="52D08B04" w14:textId="5424B1BD" w:rsidR="003B1F67" w:rsidRPr="00243E8A"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w:t>
      </w:r>
      <w:r w:rsidRPr="00243E8A">
        <w:rPr>
          <w:rFonts w:ascii="Tahoma" w:hAnsi="Tahoma" w:cs="Tahoma"/>
          <w:szCs w:val="20"/>
        </w:rPr>
        <w:t>rovněž doprava na místo plnění včetně vykládky a ekologické likvidace obalů, provedení veškerých dalších činností podmiňujících uvedení zboží do provozu</w:t>
      </w:r>
      <w:r w:rsidR="00F92AC0" w:rsidRPr="00243E8A">
        <w:rPr>
          <w:rFonts w:ascii="Tahoma" w:hAnsi="Tahoma" w:cs="Tahoma"/>
          <w:bCs/>
          <w:szCs w:val="20"/>
        </w:rPr>
        <w:t>, provedení relevantních revizí</w:t>
      </w:r>
      <w:r w:rsidR="007F6AAB" w:rsidRPr="00243E8A">
        <w:rPr>
          <w:rFonts w:ascii="Tahoma" w:hAnsi="Tahoma" w:cs="Tahoma"/>
          <w:szCs w:val="20"/>
        </w:rPr>
        <w:t>,</w:t>
      </w:r>
      <w:bookmarkStart w:id="4" w:name="_Hlk150085774"/>
      <w:r w:rsidR="007F6AAB" w:rsidRPr="00243E8A">
        <w:rPr>
          <w:rFonts w:ascii="Tahoma" w:hAnsi="Tahoma" w:cs="Tahoma"/>
          <w:b/>
          <w:szCs w:val="20"/>
        </w:rPr>
        <w:t xml:space="preserve"> </w:t>
      </w:r>
      <w:bookmarkEnd w:id="4"/>
      <w:r w:rsidRPr="00243E8A">
        <w:rPr>
          <w:rFonts w:ascii="Tahoma" w:hAnsi="Tahoma" w:cs="Tahoma"/>
          <w:szCs w:val="20"/>
        </w:rPr>
        <w:t>a dále:</w:t>
      </w:r>
    </w:p>
    <w:p w14:paraId="1F439A9A" w14:textId="34D14E17" w:rsidR="003B1F67" w:rsidRPr="00243E8A" w:rsidRDefault="001667D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5" w:name="_Hlk150873217"/>
      <w:r w:rsidRPr="00243E8A">
        <w:rPr>
          <w:rFonts w:ascii="Tahoma" w:hAnsi="Tahoma" w:cs="Tahoma"/>
          <w:szCs w:val="20"/>
        </w:rPr>
        <w:t>poskytnutí potřebných oprávnění k užití zboží, tj. licencí, např. k SW, který bude instalován na zboží či určený pro obsluhu zboží, je-li nezbytný</w:t>
      </w:r>
      <w:bookmarkEnd w:id="5"/>
    </w:p>
    <w:p w14:paraId="7F8EC82E" w14:textId="28860BC7" w:rsidR="003B1F67" w:rsidRPr="00243E8A"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43E8A">
        <w:rPr>
          <w:rFonts w:ascii="Tahoma" w:hAnsi="Tahoma" w:cs="Tahoma"/>
          <w:szCs w:val="20"/>
        </w:rPr>
        <w:t>dodání uživatelské dokumentace a manuálů</w:t>
      </w:r>
      <w:r w:rsidR="00243E8A" w:rsidRPr="00243E8A">
        <w:rPr>
          <w:rFonts w:ascii="Tahoma" w:hAnsi="Tahoma" w:cs="Tahoma"/>
          <w:szCs w:val="20"/>
        </w:rPr>
        <w:t>.</w:t>
      </w:r>
    </w:p>
    <w:p w14:paraId="436C15D3" w14:textId="59E615E8" w:rsidR="0014631E" w:rsidRPr="00243E8A"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 xml:space="preserve">Součástí Plnění je i </w:t>
      </w:r>
      <w:r w:rsidR="0014631E" w:rsidRPr="00243E8A">
        <w:rPr>
          <w:rFonts w:ascii="Tahoma" w:hAnsi="Tahoma" w:cs="Tahoma"/>
          <w:szCs w:val="20"/>
        </w:rPr>
        <w:t>poskytnutí záručního servisu na dodané zboží po dobu záruční doby.</w:t>
      </w:r>
    </w:p>
    <w:p w14:paraId="2AAA523A" w14:textId="35745670" w:rsidR="006C08A4" w:rsidRPr="00243E8A"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Dodavatel</w:t>
      </w:r>
      <w:r w:rsidR="006C08A4" w:rsidRPr="00243E8A">
        <w:rPr>
          <w:rFonts w:ascii="Tahoma" w:hAnsi="Tahoma" w:cs="Tahoma"/>
          <w:szCs w:val="20"/>
        </w:rPr>
        <w:t xml:space="preserve"> se zavazuje dodat Objednateli doklady, které se k Plnění vztahují, včetně technické dokumentace</w:t>
      </w:r>
      <w:r w:rsidR="003C120B" w:rsidRPr="00243E8A">
        <w:rPr>
          <w:rFonts w:ascii="Tahoma" w:hAnsi="Tahoma" w:cs="Tahoma"/>
          <w:szCs w:val="20"/>
        </w:rPr>
        <w:t>,</w:t>
      </w:r>
      <w:r w:rsidR="006C08A4" w:rsidRPr="00243E8A">
        <w:rPr>
          <w:rFonts w:ascii="Tahoma" w:hAnsi="Tahoma" w:cs="Tahoma"/>
          <w:szCs w:val="20"/>
        </w:rPr>
        <w:t xml:space="preserve"> vše </w:t>
      </w:r>
      <w:r w:rsidR="00B711FC" w:rsidRPr="00243E8A">
        <w:rPr>
          <w:rFonts w:ascii="Tahoma" w:hAnsi="Tahoma" w:cs="Tahoma"/>
          <w:szCs w:val="20"/>
        </w:rPr>
        <w:t>v</w:t>
      </w:r>
      <w:r w:rsidR="0073231C" w:rsidRPr="00243E8A">
        <w:rPr>
          <w:rFonts w:ascii="Tahoma" w:hAnsi="Tahoma" w:cs="Tahoma"/>
          <w:szCs w:val="20"/>
        </w:rPr>
        <w:t> </w:t>
      </w:r>
      <w:r w:rsidR="001667D0" w:rsidRPr="00243E8A">
        <w:rPr>
          <w:rFonts w:ascii="Tahoma" w:hAnsi="Tahoma" w:cs="Tahoma"/>
          <w:szCs w:val="20"/>
        </w:rPr>
        <w:t>českém nebo anglickém jazyce</w:t>
      </w:r>
      <w:r w:rsidR="006C08A4" w:rsidRPr="00243E8A">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Dodavatel</w:t>
      </w:r>
      <w:r w:rsidR="006C08A4" w:rsidRPr="00243E8A">
        <w:rPr>
          <w:rFonts w:ascii="Tahoma" w:hAnsi="Tahoma" w:cs="Tahoma"/>
          <w:szCs w:val="20"/>
        </w:rPr>
        <w:t xml:space="preserve"> se zavazuje převést na Objednatele vlastnická práva </w:t>
      </w:r>
      <w:r w:rsidR="0053255B" w:rsidRPr="00243E8A">
        <w:rPr>
          <w:rFonts w:ascii="Tahoma" w:hAnsi="Tahoma" w:cs="Tahoma"/>
          <w:szCs w:val="20"/>
        </w:rPr>
        <w:t>ke všem věcem tvořícím Plnění</w:t>
      </w:r>
      <w:r w:rsidR="006C08A4" w:rsidRPr="00243E8A">
        <w:rPr>
          <w:rFonts w:ascii="Tahoma" w:hAnsi="Tahoma" w:cs="Tahoma"/>
          <w:szCs w:val="20"/>
        </w:rPr>
        <w:t xml:space="preserve">, </w:t>
      </w:r>
      <w:r w:rsidR="00050500" w:rsidRPr="00243E8A">
        <w:rPr>
          <w:rFonts w:ascii="Tahoma" w:hAnsi="Tahoma" w:cs="Tahoma"/>
          <w:szCs w:val="20"/>
        </w:rPr>
        <w:t xml:space="preserve">která jsou převoditelná, </w:t>
      </w:r>
      <w:r w:rsidR="006C08A4" w:rsidRPr="00243E8A">
        <w:rPr>
          <w:rFonts w:ascii="Tahoma" w:hAnsi="Tahoma" w:cs="Tahoma"/>
          <w:szCs w:val="20"/>
        </w:rPr>
        <w:t>a</w:t>
      </w:r>
      <w:r w:rsidR="00E90182" w:rsidRPr="00243E8A">
        <w:rPr>
          <w:rFonts w:ascii="Tahoma" w:hAnsi="Tahoma" w:cs="Tahoma"/>
          <w:szCs w:val="20"/>
        </w:rPr>
        <w:t> </w:t>
      </w:r>
      <w:r w:rsidR="006C08A4" w:rsidRPr="00243E8A">
        <w:rPr>
          <w:rFonts w:ascii="Tahoma" w:hAnsi="Tahoma" w:cs="Tahoma"/>
          <w:szCs w:val="20"/>
        </w:rPr>
        <w:t>to v rozsahu stanoveném</w:t>
      </w:r>
      <w:r w:rsidR="006C08A4" w:rsidRPr="000A5277">
        <w:rPr>
          <w:rFonts w:ascii="Tahoma" w:hAnsi="Tahoma" w:cs="Tahoma"/>
          <w:szCs w:val="20"/>
        </w:rPr>
        <w:t xml:space="preserve">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6" w:name="_Ref312235268"/>
      <w:r w:rsidRPr="00197958">
        <w:rPr>
          <w:rFonts w:ascii="Tahoma" w:hAnsi="Tahoma" w:cs="Tahoma"/>
          <w:sz w:val="20"/>
          <w:szCs w:val="20"/>
        </w:rPr>
        <w:lastRenderedPageBreak/>
        <w:t>DOBA A MÍSTO PLNĚNÍ</w:t>
      </w:r>
    </w:p>
    <w:p w14:paraId="3E336FA9" w14:textId="7A64569D" w:rsidR="003B1F67" w:rsidRPr="00243E8A"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7"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w:t>
      </w:r>
      <w:r w:rsidR="006C08A4" w:rsidRPr="00243E8A">
        <w:rPr>
          <w:rFonts w:ascii="Tahoma" w:hAnsi="Tahoma" w:cs="Tahoma"/>
          <w:szCs w:val="20"/>
        </w:rPr>
        <w:t xml:space="preserve">zařízení dle </w:t>
      </w:r>
      <w:r w:rsidR="008371FB" w:rsidRPr="00243E8A">
        <w:rPr>
          <w:rFonts w:ascii="Tahoma" w:hAnsi="Tahoma" w:cs="Tahoma"/>
          <w:szCs w:val="20"/>
        </w:rPr>
        <w:t>odst</w:t>
      </w:r>
      <w:r w:rsidR="00F55FE9" w:rsidRPr="00243E8A">
        <w:rPr>
          <w:rFonts w:ascii="Tahoma" w:hAnsi="Tahoma" w:cs="Tahoma"/>
          <w:szCs w:val="20"/>
        </w:rPr>
        <w:t>.</w:t>
      </w:r>
      <w:r w:rsidR="008371FB" w:rsidRPr="00243E8A">
        <w:rPr>
          <w:rFonts w:ascii="Tahoma" w:hAnsi="Tahoma" w:cs="Tahoma"/>
          <w:szCs w:val="20"/>
        </w:rPr>
        <w:t xml:space="preserve"> </w:t>
      </w:r>
      <w:r w:rsidR="006C08A4" w:rsidRPr="00243E8A">
        <w:rPr>
          <w:rFonts w:ascii="Tahoma" w:hAnsi="Tahoma" w:cs="Tahoma"/>
          <w:szCs w:val="20"/>
        </w:rPr>
        <w:t>1</w:t>
      </w:r>
      <w:r w:rsidR="008371FB" w:rsidRPr="00243E8A">
        <w:rPr>
          <w:rFonts w:ascii="Tahoma" w:hAnsi="Tahoma" w:cs="Tahoma"/>
          <w:szCs w:val="20"/>
        </w:rPr>
        <w:t>.</w:t>
      </w:r>
      <w:r w:rsidR="006C08A4" w:rsidRPr="00243E8A">
        <w:rPr>
          <w:rFonts w:ascii="Tahoma" w:hAnsi="Tahoma" w:cs="Tahoma"/>
          <w:szCs w:val="20"/>
        </w:rPr>
        <w:t xml:space="preserve"> </w:t>
      </w:r>
      <w:r w:rsidR="008371FB" w:rsidRPr="00243E8A">
        <w:rPr>
          <w:rFonts w:ascii="Tahoma" w:hAnsi="Tahoma" w:cs="Tahoma"/>
          <w:szCs w:val="20"/>
        </w:rPr>
        <w:t xml:space="preserve">článku II. </w:t>
      </w:r>
      <w:r w:rsidR="006C08A4" w:rsidRPr="00243E8A">
        <w:rPr>
          <w:rFonts w:ascii="Tahoma" w:hAnsi="Tahoma" w:cs="Tahoma"/>
          <w:szCs w:val="20"/>
        </w:rPr>
        <w:t xml:space="preserve">Smlouvy </w:t>
      </w:r>
      <w:r w:rsidRPr="00243E8A">
        <w:rPr>
          <w:rFonts w:ascii="Tahoma" w:hAnsi="Tahoma" w:cs="Tahoma"/>
          <w:szCs w:val="20"/>
        </w:rPr>
        <w:t>a dalších činno</w:t>
      </w:r>
      <w:r w:rsidR="00A91B4C" w:rsidRPr="00243E8A">
        <w:rPr>
          <w:rFonts w:ascii="Tahoma" w:hAnsi="Tahoma" w:cs="Tahoma"/>
          <w:szCs w:val="20"/>
        </w:rPr>
        <w:t>stí</w:t>
      </w:r>
      <w:r w:rsidR="000A5277" w:rsidRPr="00243E8A">
        <w:rPr>
          <w:rFonts w:ascii="Tahoma" w:hAnsi="Tahoma" w:cs="Tahoma"/>
          <w:szCs w:val="20"/>
        </w:rPr>
        <w:t xml:space="preserve"> vyjmenovaných v</w:t>
      </w:r>
      <w:r w:rsidR="00F55FE9" w:rsidRPr="00243E8A">
        <w:rPr>
          <w:rFonts w:ascii="Tahoma" w:hAnsi="Tahoma" w:cs="Tahoma"/>
          <w:szCs w:val="20"/>
        </w:rPr>
        <w:t xml:space="preserve"> odst. 2. </w:t>
      </w:r>
      <w:r w:rsidRPr="00243E8A">
        <w:rPr>
          <w:rFonts w:ascii="Tahoma" w:hAnsi="Tahoma" w:cs="Tahoma"/>
          <w:szCs w:val="20"/>
        </w:rPr>
        <w:t>článku II. Smlouvy</w:t>
      </w:r>
      <w:r w:rsidR="006C08A4" w:rsidRPr="00243E8A">
        <w:rPr>
          <w:rFonts w:ascii="Tahoma" w:hAnsi="Tahoma" w:cs="Tahoma"/>
          <w:szCs w:val="20"/>
        </w:rPr>
        <w:t xml:space="preserve">, a to do </w:t>
      </w:r>
      <w:r w:rsidR="001667D0" w:rsidRPr="00243E8A">
        <w:rPr>
          <w:rFonts w:ascii="Tahoma" w:hAnsi="Tahoma" w:cs="Tahoma"/>
          <w:b/>
          <w:bCs/>
          <w:szCs w:val="20"/>
        </w:rPr>
        <w:t>180</w:t>
      </w:r>
      <w:r w:rsidR="003B1F67" w:rsidRPr="00243E8A">
        <w:rPr>
          <w:rFonts w:ascii="Tahoma" w:hAnsi="Tahoma" w:cs="Tahoma"/>
          <w:szCs w:val="20"/>
        </w:rPr>
        <w:t xml:space="preserve"> </w:t>
      </w:r>
      <w:r w:rsidR="00301A2C" w:rsidRPr="00243E8A">
        <w:rPr>
          <w:rFonts w:ascii="Tahoma" w:hAnsi="Tahoma" w:cs="Tahoma"/>
          <w:szCs w:val="20"/>
        </w:rPr>
        <w:t>kalendářních dnů</w:t>
      </w:r>
      <w:r w:rsidR="006C08A4" w:rsidRPr="00243E8A">
        <w:rPr>
          <w:rFonts w:ascii="Tahoma" w:hAnsi="Tahoma" w:cs="Tahoma"/>
          <w:szCs w:val="20"/>
        </w:rPr>
        <w:t xml:space="preserve"> ode dne </w:t>
      </w:r>
      <w:r w:rsidR="000A5277" w:rsidRPr="00243E8A">
        <w:rPr>
          <w:rFonts w:ascii="Tahoma" w:hAnsi="Tahoma" w:cs="Tahoma"/>
          <w:szCs w:val="20"/>
        </w:rPr>
        <w:t>nabytí účinnosti této smlouvy</w:t>
      </w:r>
      <w:r w:rsidR="006C08A4" w:rsidRPr="00243E8A">
        <w:rPr>
          <w:rFonts w:ascii="Tahoma" w:hAnsi="Tahoma" w:cs="Tahoma"/>
          <w:szCs w:val="20"/>
        </w:rPr>
        <w:t>.</w:t>
      </w:r>
      <w:r w:rsidR="003B1F67" w:rsidRPr="00243E8A">
        <w:rPr>
          <w:rFonts w:ascii="Tahoma" w:hAnsi="Tahoma" w:cs="Tahoma"/>
          <w:szCs w:val="20"/>
        </w:rPr>
        <w:t xml:space="preserve"> </w:t>
      </w:r>
    </w:p>
    <w:p w14:paraId="2E65EFBE" w14:textId="5399CF9E"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 xml:space="preserve">Místem plnění je </w:t>
      </w:r>
      <w:bookmarkEnd w:id="7"/>
      <w:r w:rsidR="001667D0" w:rsidRPr="00243E8A">
        <w:rPr>
          <w:rFonts w:ascii="Tahoma" w:hAnsi="Tahoma" w:cs="Tahoma"/>
          <w:szCs w:val="20"/>
        </w:rPr>
        <w:t xml:space="preserve">Vysoká škola báňská – Technická univerzita Ostrava, Fakulta bezpečnostního inženýrství, Lumírova 630/13, 700 30 </w:t>
      </w:r>
      <w:proofErr w:type="gramStart"/>
      <w:r w:rsidR="001667D0" w:rsidRPr="00243E8A">
        <w:rPr>
          <w:rFonts w:ascii="Tahoma" w:hAnsi="Tahoma" w:cs="Tahoma"/>
          <w:szCs w:val="20"/>
        </w:rPr>
        <w:t>Ostrava - Výškovice</w:t>
      </w:r>
      <w:proofErr w:type="gramEnd"/>
      <w:r w:rsidR="00143EE2" w:rsidRPr="00243E8A">
        <w:rPr>
          <w:rFonts w:ascii="Tahoma" w:hAnsi="Tahoma" w:cs="Tahoma"/>
          <w:szCs w:val="20"/>
        </w:rPr>
        <w:t xml:space="preserve">, </w:t>
      </w:r>
      <w:r w:rsidRPr="00243E8A">
        <w:rPr>
          <w:rFonts w:ascii="Tahoma" w:hAnsi="Tahoma" w:cs="Tahoma"/>
          <w:szCs w:val="20"/>
        </w:rPr>
        <w:t xml:space="preserve">kde bude </w:t>
      </w:r>
      <w:r w:rsidR="00AE7846" w:rsidRPr="00243E8A">
        <w:rPr>
          <w:rFonts w:ascii="Tahoma" w:hAnsi="Tahoma" w:cs="Tahoma"/>
          <w:szCs w:val="20"/>
        </w:rPr>
        <w:t>Dodavatelem</w:t>
      </w:r>
      <w:r w:rsidRPr="00243E8A">
        <w:rPr>
          <w:rFonts w:ascii="Tahoma" w:hAnsi="Tahoma" w:cs="Tahoma"/>
          <w:szCs w:val="20"/>
        </w:rPr>
        <w:t xml:space="preserve"> provedena </w:t>
      </w:r>
      <w:r w:rsidR="007E2419" w:rsidRPr="00243E8A">
        <w:rPr>
          <w:rFonts w:ascii="Tahoma" w:hAnsi="Tahoma" w:cs="Tahoma"/>
          <w:szCs w:val="20"/>
        </w:rPr>
        <w:t>dodávka</w:t>
      </w:r>
      <w:r w:rsidR="00AE7846" w:rsidRPr="00243E8A">
        <w:rPr>
          <w:rFonts w:ascii="Tahoma" w:hAnsi="Tahoma" w:cs="Tahoma"/>
          <w:szCs w:val="20"/>
        </w:rPr>
        <w:t xml:space="preserve"> a další souvisejíc</w:t>
      </w:r>
      <w:r w:rsidR="00D36A53" w:rsidRPr="00243E8A">
        <w:rPr>
          <w:rFonts w:ascii="Tahoma" w:hAnsi="Tahoma" w:cs="Tahoma"/>
          <w:szCs w:val="20"/>
        </w:rPr>
        <w:t>í činnosti uvedené v</w:t>
      </w:r>
      <w:r w:rsidR="00AE7846" w:rsidRPr="00243E8A">
        <w:rPr>
          <w:rFonts w:ascii="Tahoma" w:hAnsi="Tahoma" w:cs="Tahoma"/>
          <w:szCs w:val="20"/>
        </w:rPr>
        <w:t xml:space="preserve"> článku II. Smlouvy</w:t>
      </w:r>
      <w:r w:rsidR="00206952" w:rsidRPr="00243E8A">
        <w:rPr>
          <w:rFonts w:ascii="Tahoma" w:hAnsi="Tahoma" w:cs="Tahoma"/>
          <w:szCs w:val="20"/>
        </w:rPr>
        <w:t xml:space="preserve"> </w:t>
      </w:r>
      <w:r w:rsidRPr="00243E8A">
        <w:rPr>
          <w:rFonts w:ascii="Tahoma" w:hAnsi="Tahoma" w:cs="Tahoma"/>
          <w:szCs w:val="20"/>
        </w:rPr>
        <w:t>a záruční servis.</w:t>
      </w:r>
      <w:r w:rsidR="00D5332E" w:rsidRPr="00243E8A">
        <w:rPr>
          <w:rFonts w:ascii="Tahoma" w:hAnsi="Tahoma" w:cs="Tahoma"/>
          <w:szCs w:val="20"/>
        </w:rPr>
        <w:t xml:space="preserve"> </w:t>
      </w:r>
      <w:r w:rsidR="006C3DBA" w:rsidRPr="00243E8A">
        <w:rPr>
          <w:rFonts w:ascii="Tahoma" w:hAnsi="Tahoma" w:cs="Tahoma"/>
          <w:szCs w:val="20"/>
        </w:rPr>
        <w:t>Dodavatel</w:t>
      </w:r>
      <w:r w:rsidRPr="00243E8A">
        <w:rPr>
          <w:rFonts w:ascii="Tahoma" w:hAnsi="Tahoma" w:cs="Tahoma"/>
          <w:szCs w:val="20"/>
        </w:rPr>
        <w:t xml:space="preserve"> se zavazuje informovat Objednatele o provedení Plnění v</w:t>
      </w:r>
      <w:r w:rsidR="00D36A53" w:rsidRPr="00243E8A">
        <w:rPr>
          <w:rFonts w:ascii="Tahoma" w:hAnsi="Tahoma" w:cs="Tahoma"/>
          <w:szCs w:val="20"/>
        </w:rPr>
        <w:t> </w:t>
      </w:r>
      <w:r w:rsidRPr="00243E8A">
        <w:rPr>
          <w:rFonts w:ascii="Tahoma" w:hAnsi="Tahoma" w:cs="Tahoma"/>
          <w:szCs w:val="20"/>
        </w:rPr>
        <w:t xml:space="preserve">místě plnění a </w:t>
      </w:r>
      <w:r w:rsidR="006C3DBA" w:rsidRPr="00243E8A">
        <w:rPr>
          <w:rFonts w:ascii="Tahoma" w:hAnsi="Tahoma" w:cs="Tahoma"/>
          <w:szCs w:val="20"/>
        </w:rPr>
        <w:t>zároveň</w:t>
      </w:r>
      <w:r w:rsidR="006C3DBA" w:rsidRPr="00197958">
        <w:rPr>
          <w:rFonts w:ascii="Tahoma" w:hAnsi="Tahoma" w:cs="Tahoma"/>
          <w:szCs w:val="20"/>
        </w:rPr>
        <w:t xml:space="preserve">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55B2B9C7" w14:textId="71BBCE9F" w:rsidR="00EC47CF" w:rsidRPr="00D36A53" w:rsidRDefault="00EC47CF"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EC47CF">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20704357"/>
      <w:bookmarkEnd w:id="6"/>
      <w:r w:rsidRPr="00197958">
        <w:rPr>
          <w:rFonts w:ascii="Tahoma" w:hAnsi="Tahoma" w:cs="Tahoma"/>
          <w:sz w:val="20"/>
          <w:szCs w:val="20"/>
        </w:rPr>
        <w:t>PROVEDENÍ PLNĚNÍ</w:t>
      </w:r>
      <w:bookmarkEnd w:id="8"/>
    </w:p>
    <w:p w14:paraId="035115ED" w14:textId="5427E690"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Plnění, tj. předání</w:t>
      </w:r>
      <w:r w:rsidR="00050500">
        <w:rPr>
          <w:rFonts w:ascii="Tahoma" w:hAnsi="Tahoma" w:cs="Tahoma"/>
          <w:szCs w:val="20"/>
        </w:rPr>
        <w:t>,</w:t>
      </w:r>
      <w:r w:rsidR="007E2419">
        <w:rPr>
          <w:rFonts w:ascii="Tahoma" w:hAnsi="Tahoma" w:cs="Tahoma"/>
          <w:szCs w:val="20"/>
        </w:rPr>
        <w:t xml:space="preserve"> převzetí</w:t>
      </w:r>
      <w:r w:rsidR="0053255B">
        <w:rPr>
          <w:rFonts w:ascii="Tahoma" w:hAnsi="Tahoma" w:cs="Tahoma"/>
          <w:szCs w:val="20"/>
        </w:rPr>
        <w:t>,</w:t>
      </w:r>
      <w:r w:rsidR="00050500">
        <w:rPr>
          <w:rFonts w:ascii="Tahoma" w:hAnsi="Tahoma" w:cs="Tahoma"/>
          <w:szCs w:val="20"/>
        </w:rPr>
        <w:t xml:space="preserve"> </w:t>
      </w:r>
      <w:r w:rsidR="0053255B">
        <w:rPr>
          <w:rFonts w:ascii="Tahoma" w:hAnsi="Tahoma" w:cs="Tahoma"/>
          <w:szCs w:val="20"/>
        </w:rPr>
        <w:t>a </w:t>
      </w:r>
      <w:r w:rsidRPr="00197958">
        <w:rPr>
          <w:rFonts w:ascii="Tahoma" w:hAnsi="Tahoma" w:cs="Tahoma"/>
          <w:szCs w:val="20"/>
        </w:rPr>
        <w:t>to vše v</w:t>
      </w:r>
      <w:r w:rsidR="007E2419">
        <w:rPr>
          <w:rFonts w:ascii="Tahoma" w:hAnsi="Tahoma" w:cs="Tahoma"/>
          <w:szCs w:val="20"/>
        </w:rPr>
        <w:t> místě Plnění dle čl. III.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5904DC91"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w:t>
      </w:r>
      <w:r w:rsidR="002C59EF">
        <w:rPr>
          <w:rFonts w:ascii="Tahoma" w:hAnsi="Tahoma" w:cs="Tahoma"/>
          <w:szCs w:val="20"/>
        </w:rPr>
        <w:t>Pl</w:t>
      </w:r>
      <w:r w:rsidRPr="00746B71">
        <w:rPr>
          <w:rFonts w:ascii="Tahoma" w:hAnsi="Tahoma" w:cs="Tahoma"/>
          <w:szCs w:val="20"/>
        </w:rPr>
        <w:t xml:space="preserve">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4E04463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celkové ceně Plnění jsou zahrnuty veškeré náklady spojené s provedením Plnění, např. náklady spojené s dopravou na místo plněn</w:t>
      </w:r>
      <w:r w:rsidR="007E2419">
        <w:rPr>
          <w:rFonts w:ascii="Tahoma" w:hAnsi="Tahoma" w:cs="Tahoma"/>
          <w:szCs w:val="20"/>
        </w:rPr>
        <w:t>í, pojištěním</w:t>
      </w:r>
      <w:r w:rsidR="004C0992" w:rsidRPr="00415A6A">
        <w:rPr>
          <w:rFonts w:ascii="Tahoma" w:hAnsi="Tahoma" w:cs="Tahoma"/>
          <w:szCs w:val="20"/>
        </w:rPr>
        <w:t>,</w:t>
      </w:r>
      <w:r w:rsidRPr="00415A6A">
        <w:rPr>
          <w:rFonts w:ascii="Tahoma" w:hAnsi="Tahoma" w:cs="Tahoma"/>
          <w:szCs w:val="20"/>
        </w:rPr>
        <w:t xml:space="preserve"> </w:t>
      </w:r>
      <w:r w:rsidR="00050500" w:rsidRPr="00050500">
        <w:rPr>
          <w:rFonts w:ascii="Tahoma" w:hAnsi="Tahoma" w:cs="Tahoma"/>
          <w:szCs w:val="20"/>
        </w:rPr>
        <w:t xml:space="preserve">jakož i jeho uvedením do provozu, </w:t>
      </w:r>
      <w:r w:rsidR="004E7E0A" w:rsidRPr="00197958">
        <w:rPr>
          <w:rFonts w:ascii="Tahoma" w:hAnsi="Tahoma" w:cs="Tahoma"/>
          <w:szCs w:val="20"/>
        </w:rPr>
        <w:t xml:space="preserve">prováděním </w:t>
      </w:r>
      <w:r w:rsidRPr="00197958">
        <w:rPr>
          <w:rFonts w:ascii="Tahoma" w:hAnsi="Tahoma" w:cs="Tahoma"/>
          <w:szCs w:val="20"/>
        </w:rPr>
        <w:t>záručního servisu a</w:t>
      </w:r>
      <w:r w:rsidR="001A361E">
        <w:rPr>
          <w:rFonts w:ascii="Tahoma" w:hAnsi="Tahoma" w:cs="Tahoma"/>
          <w:szCs w:val="20"/>
        </w:rPr>
        <w:t> </w:t>
      </w:r>
      <w:r w:rsidR="004E7E0A" w:rsidRPr="00197958">
        <w:rPr>
          <w:rFonts w:ascii="Tahoma" w:hAnsi="Tahoma" w:cs="Tahoma"/>
          <w:szCs w:val="20"/>
        </w:rPr>
        <w:t>poskytnutí veškeré</w:t>
      </w:r>
      <w:r w:rsidRPr="00197958">
        <w:rPr>
          <w:rFonts w:ascii="Tahoma" w:hAnsi="Tahoma" w:cs="Tahoma"/>
          <w:szCs w:val="20"/>
        </w:rPr>
        <w:t xml:space="preserve"> </w:t>
      </w:r>
      <w:r w:rsidR="004E7E0A" w:rsidRPr="00197958">
        <w:rPr>
          <w:rFonts w:ascii="Tahoma" w:hAnsi="Tahoma" w:cs="Tahoma"/>
          <w:szCs w:val="20"/>
        </w:rPr>
        <w:t>dokumentace</w:t>
      </w:r>
      <w:r w:rsidRPr="00197958">
        <w:rPr>
          <w:rFonts w:ascii="Tahoma" w:hAnsi="Tahoma" w:cs="Tahoma"/>
          <w:szCs w:val="20"/>
        </w:rPr>
        <w:t xml:space="preserve"> dle této Smlouvy.</w:t>
      </w:r>
      <w:r w:rsidR="00373F42" w:rsidRPr="00197958">
        <w:rPr>
          <w:rFonts w:ascii="Tahoma" w:hAnsi="Tahoma" w:cs="Tahoma"/>
          <w:szCs w:val="20"/>
        </w:rPr>
        <w:t xml:space="preserve"> </w:t>
      </w:r>
      <w:r w:rsidRPr="00197958">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243E8A"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w:t>
      </w:r>
      <w:r w:rsidR="006C08A4" w:rsidRPr="00243E8A">
        <w:rPr>
          <w:rFonts w:ascii="Tahoma" w:hAnsi="Tahoma" w:cs="Tahoma"/>
          <w:szCs w:val="20"/>
        </w:rPr>
        <w:t xml:space="preserve">nespolehlivým plátcem ve smyslu § 106a zákona o DPH. V takovém případě pak není Objednatel povinen uhradit částku odpovídající DPH </w:t>
      </w:r>
      <w:r w:rsidRPr="00243E8A">
        <w:rPr>
          <w:rFonts w:ascii="Tahoma" w:hAnsi="Tahoma" w:cs="Tahoma"/>
          <w:szCs w:val="20"/>
        </w:rPr>
        <w:t>Dodavateli</w:t>
      </w:r>
      <w:r w:rsidR="006C08A4" w:rsidRPr="00243E8A">
        <w:rPr>
          <w:rFonts w:ascii="Tahoma" w:hAnsi="Tahoma" w:cs="Tahoma"/>
          <w:szCs w:val="20"/>
        </w:rPr>
        <w:t xml:space="preserve">. </w:t>
      </w:r>
    </w:p>
    <w:p w14:paraId="1C33E99F" w14:textId="34535C4D" w:rsidR="00E260FB" w:rsidRPr="00243E8A" w:rsidRDefault="001667D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9" w:name="_Hlk150087558"/>
      <w:r w:rsidRPr="00243E8A">
        <w:rPr>
          <w:rFonts w:ascii="Tahoma" w:hAnsi="Tahoma" w:cs="Tahoma"/>
          <w:szCs w:val="20"/>
        </w:rPr>
        <w:t>Objednatel neposkytne Dodavateli žádnou zálohu na cenu Plnění.</w:t>
      </w:r>
      <w:bookmarkEnd w:id="9"/>
    </w:p>
    <w:p w14:paraId="4751B21D" w14:textId="277B369B" w:rsidR="006C08A4" w:rsidRPr="00243E8A"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Cena Plnění bude uhrazena na základě daňového dokladu – faktury vystavené Dodavatelem bez zbytečného odkladu po převzetí Plnění</w:t>
      </w:r>
      <w:r w:rsidR="008D4C38" w:rsidRPr="00243E8A">
        <w:rPr>
          <w:rFonts w:ascii="Tahoma" w:hAnsi="Tahoma" w:cs="Tahoma"/>
          <w:szCs w:val="20"/>
        </w:rPr>
        <w:t xml:space="preserve"> dle čl. IV. Smlouvy a po odstranění drobných vad a nedodělků, bylo-li Plnění převzato s drobnými vad</w:t>
      </w:r>
      <w:r w:rsidR="007C6FB6" w:rsidRPr="00243E8A">
        <w:rPr>
          <w:rFonts w:ascii="Tahoma" w:hAnsi="Tahoma" w:cs="Tahoma"/>
          <w:szCs w:val="20"/>
        </w:rPr>
        <w:t>ami</w:t>
      </w:r>
      <w:r w:rsidR="008D4C38" w:rsidRPr="00243E8A">
        <w:rPr>
          <w:rFonts w:ascii="Tahoma" w:hAnsi="Tahoma" w:cs="Tahoma"/>
          <w:szCs w:val="20"/>
        </w:rPr>
        <w:t xml:space="preserve"> a nedodělky</w:t>
      </w:r>
      <w:r w:rsidRPr="00243E8A">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243E8A">
        <w:rPr>
          <w:rFonts w:ascii="Tahoma" w:hAnsi="Tahoma" w:cs="Tahoma"/>
          <w:szCs w:val="20"/>
        </w:rPr>
        <w:t xml:space="preserve"> </w:t>
      </w:r>
      <w:r w:rsidRPr="00243E8A">
        <w:rPr>
          <w:rFonts w:ascii="Tahoma" w:hAnsi="Tahoma" w:cs="Tahoma"/>
          <w:szCs w:val="20"/>
        </w:rPr>
        <w:t>Dále musí faktura splňovat náležitosti daňového</w:t>
      </w:r>
      <w:r w:rsidRPr="00250A2D">
        <w:rPr>
          <w:rFonts w:ascii="Tahoma" w:hAnsi="Tahoma" w:cs="Tahoma"/>
          <w:szCs w:val="20"/>
        </w:rPr>
        <w:t xml:space="preserve"> a účetního dokladu dle zákona č. 563/1991 Sb., o účetnictví, a zákona č. 235/2004 Sb., o dani z přidané hodnoty, ve znění pozdějších předpisů. V případě, že </w:t>
      </w:r>
      <w:r w:rsidRPr="00243E8A">
        <w:rPr>
          <w:rFonts w:ascii="Tahoma" w:hAnsi="Tahoma" w:cs="Tahoma"/>
          <w:szCs w:val="20"/>
        </w:rPr>
        <w:t xml:space="preserve">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0" w:name="_Hlk150087802"/>
      <w:r w:rsidR="00243E8A" w:rsidRPr="00243E8A">
        <w:rPr>
          <w:rFonts w:ascii="Tahoma" w:hAnsi="Tahoma" w:cs="Tahoma"/>
          <w:b/>
          <w:bCs/>
          <w:szCs w:val="20"/>
        </w:rPr>
        <w:t xml:space="preserve">tamara.sanitrakova@vsb.cz </w:t>
      </w:r>
      <w:r w:rsidR="00243E8A" w:rsidRPr="00243E8A">
        <w:rPr>
          <w:rFonts w:ascii="Tahoma" w:hAnsi="Tahoma" w:cs="Tahoma"/>
          <w:szCs w:val="20"/>
        </w:rPr>
        <w:t>a</w:t>
      </w:r>
      <w:r w:rsidR="00243E8A" w:rsidRPr="00243E8A">
        <w:rPr>
          <w:rFonts w:ascii="Tahoma" w:hAnsi="Tahoma" w:cs="Tahoma"/>
          <w:b/>
          <w:bCs/>
          <w:szCs w:val="20"/>
        </w:rPr>
        <w:t xml:space="preserve"> lukas.cadan@vsb.cz</w:t>
      </w:r>
      <w:r w:rsidR="006C08A4" w:rsidRPr="00243E8A">
        <w:rPr>
          <w:rFonts w:ascii="Tahoma" w:hAnsi="Tahoma" w:cs="Tahoma"/>
          <w:szCs w:val="20"/>
        </w:rPr>
        <w:t>.</w:t>
      </w:r>
      <w:bookmarkEnd w:id="10"/>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 xml:space="preserve">Faktura vystavená Dodavatelem bude dále obsahovat název Projektu, </w:t>
      </w:r>
      <w:proofErr w:type="spellStart"/>
      <w:r w:rsidRPr="00243E8A">
        <w:rPr>
          <w:rFonts w:ascii="Tahoma" w:hAnsi="Tahoma" w:cs="Tahoma"/>
          <w:szCs w:val="20"/>
        </w:rPr>
        <w:t>reg</w:t>
      </w:r>
      <w:proofErr w:type="spellEnd"/>
      <w:r w:rsidRPr="00243E8A">
        <w:rPr>
          <w:rFonts w:ascii="Tahoma" w:hAnsi="Tahoma" w:cs="Tahoma"/>
          <w:szCs w:val="20"/>
        </w:rPr>
        <w:t>. číslo Projektu a relevantní kód CZ CPA d</w:t>
      </w:r>
      <w:r>
        <w:rPr>
          <w:rFonts w:ascii="Tahoma" w:hAnsi="Tahoma" w:cs="Tahoma"/>
          <w:szCs w:val="20"/>
        </w:rPr>
        <w:t xml:space="preserve">odávky. Pokud faktura nebude obsahovat informace dle předchozí věty, může si Objednatel vyžádat jejich doplnění, nebo může fakturu Dodavateli vrátit. Pro vrácení faktury se použijí obdobně ustanovení předchozího odstavce. </w:t>
      </w:r>
    </w:p>
    <w:p w14:paraId="7D0827AD" w14:textId="537885D5"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7C6FB6">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64EF08E9"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FC7A79">
        <w:rPr>
          <w:rFonts w:ascii="Tahoma" w:hAnsi="Tahoma" w:cs="Tahoma"/>
          <w:szCs w:val="20"/>
        </w:rPr>
        <w:t>Dodavatele</w:t>
      </w:r>
      <w:r w:rsidR="006C08A4" w:rsidRPr="00197958">
        <w:rPr>
          <w:rFonts w:ascii="Tahoma" w:hAnsi="Tahoma" w:cs="Tahoma"/>
          <w:szCs w:val="20"/>
        </w:rPr>
        <w:t xml:space="preserve">, na který </w:t>
      </w:r>
      <w:r w:rsidR="00436736">
        <w:rPr>
          <w:rFonts w:ascii="Tahoma" w:hAnsi="Tahoma" w:cs="Tahoma"/>
          <w:szCs w:val="20"/>
        </w:rPr>
        <w:t>Dodavatel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5D730613"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w:t>
      </w:r>
      <w:r w:rsidR="007C6FB6">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6"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6DB55FB" w:rsidR="006C08A4" w:rsidRPr="00243E8A"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w:t>
      </w:r>
      <w:r w:rsidR="006C08A4" w:rsidRPr="00243E8A">
        <w:rPr>
          <w:rFonts w:ascii="Tahoma" w:hAnsi="Tahoma" w:cs="Tahoma"/>
          <w:szCs w:val="20"/>
        </w:rPr>
        <w:t xml:space="preserve">pozdějších předpisů, spolupůsobit při výkonu finanční kontroly, mj. umožnit Řídícímu orgánu </w:t>
      </w:r>
      <w:r w:rsidR="001667D0" w:rsidRPr="00243E8A">
        <w:rPr>
          <w:rFonts w:ascii="Tahoma" w:hAnsi="Tahoma" w:cs="Tahoma"/>
          <w:szCs w:val="20"/>
        </w:rPr>
        <w:t>OP ST</w:t>
      </w:r>
      <w:r w:rsidR="009C4F0B" w:rsidRPr="00243E8A">
        <w:rPr>
          <w:rFonts w:ascii="Tahoma" w:hAnsi="Tahoma" w:cs="Tahoma"/>
          <w:szCs w:val="20"/>
        </w:rPr>
        <w:t xml:space="preserve"> </w:t>
      </w:r>
      <w:r w:rsidR="006C08A4" w:rsidRPr="00243E8A">
        <w:rPr>
          <w:rFonts w:ascii="Tahoma" w:hAnsi="Tahoma" w:cs="Tahoma"/>
          <w:szCs w:val="20"/>
        </w:rPr>
        <w:t>přístup i k těm částem</w:t>
      </w:r>
      <w:r w:rsidR="0053255B" w:rsidRPr="00243E8A">
        <w:rPr>
          <w:rFonts w:ascii="Tahoma" w:hAnsi="Tahoma" w:cs="Tahoma"/>
          <w:szCs w:val="20"/>
        </w:rPr>
        <w:t xml:space="preserve"> nabídek, smluv a </w:t>
      </w:r>
      <w:r w:rsidR="006C08A4" w:rsidRPr="00243E8A">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243E8A">
        <w:rPr>
          <w:rFonts w:ascii="Tahoma" w:hAnsi="Tahoma" w:cs="Tahoma"/>
          <w:szCs w:val="20"/>
        </w:rPr>
        <w:t>[zejména zákona č. 255/2012 Sb., o kontrole (kontrolní řád), v účinném znění];</w:t>
      </w:r>
      <w:r w:rsidR="008A063A" w:rsidRPr="00243E8A">
        <w:rPr>
          <w:rFonts w:ascii="Tahoma" w:hAnsi="Tahoma" w:cs="Tahoma"/>
          <w:szCs w:val="20"/>
        </w:rPr>
        <w:t xml:space="preserve"> ve smlouvách se svými pod</w:t>
      </w:r>
      <w:r w:rsidR="006C08A4" w:rsidRPr="00243E8A">
        <w:rPr>
          <w:rFonts w:ascii="Tahoma" w:hAnsi="Tahoma" w:cs="Tahoma"/>
          <w:szCs w:val="20"/>
        </w:rPr>
        <w:t xml:space="preserve">dodavateli </w:t>
      </w:r>
      <w:r w:rsidR="00050500" w:rsidRPr="00243E8A">
        <w:rPr>
          <w:rFonts w:ascii="Tahoma" w:hAnsi="Tahoma" w:cs="Tahoma"/>
          <w:szCs w:val="20"/>
        </w:rPr>
        <w:t>Dodavatel</w:t>
      </w:r>
      <w:r w:rsidR="007173DF" w:rsidRPr="00243E8A">
        <w:rPr>
          <w:rFonts w:ascii="Tahoma" w:hAnsi="Tahoma" w:cs="Tahoma"/>
          <w:szCs w:val="20"/>
        </w:rPr>
        <w:t xml:space="preserve"> t</w:t>
      </w:r>
      <w:r w:rsidR="00C7285C" w:rsidRPr="00243E8A">
        <w:rPr>
          <w:rFonts w:ascii="Tahoma" w:hAnsi="Tahoma" w:cs="Tahoma"/>
          <w:szCs w:val="20"/>
        </w:rPr>
        <w:t xml:space="preserve">yto zaváže </w:t>
      </w:r>
      <w:r w:rsidR="006C08A4" w:rsidRPr="00243E8A">
        <w:rPr>
          <w:rFonts w:ascii="Tahoma" w:hAnsi="Tahoma" w:cs="Tahoma"/>
          <w:szCs w:val="20"/>
        </w:rPr>
        <w:t xml:space="preserve">umožnit Řídícímu orgánu </w:t>
      </w:r>
      <w:r w:rsidR="001667D0" w:rsidRPr="00243E8A">
        <w:rPr>
          <w:rFonts w:ascii="Tahoma" w:hAnsi="Tahoma" w:cs="Tahoma"/>
          <w:szCs w:val="20"/>
        </w:rPr>
        <w:t>OP ST</w:t>
      </w:r>
      <w:r w:rsidR="006C08A4" w:rsidRPr="00243E8A">
        <w:rPr>
          <w:rFonts w:ascii="Tahoma" w:hAnsi="Tahoma" w:cs="Tahoma"/>
          <w:szCs w:val="20"/>
        </w:rPr>
        <w:t xml:space="preserve"> kontrolu </w:t>
      </w:r>
      <w:r w:rsidR="00A91B4C" w:rsidRPr="00243E8A">
        <w:rPr>
          <w:rFonts w:ascii="Tahoma" w:hAnsi="Tahoma" w:cs="Tahoma"/>
          <w:szCs w:val="20"/>
        </w:rPr>
        <w:t>pod</w:t>
      </w:r>
      <w:r w:rsidR="006C08A4" w:rsidRPr="00243E8A">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7"/>
      <w:bookmarkEnd w:id="18"/>
      <w:bookmarkEnd w:id="19"/>
      <w:bookmarkEnd w:id="20"/>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5293CC9A" w:rsidR="00E260FB" w:rsidRPr="00243E8A" w:rsidRDefault="001667D0" w:rsidP="00E74D4B">
      <w:pPr>
        <w:pStyle w:val="Odstavecseseznamem"/>
        <w:keepLines/>
        <w:spacing w:before="60" w:after="0" w:line="240" w:lineRule="auto"/>
        <w:ind w:left="992"/>
        <w:contextualSpacing w:val="0"/>
        <w:jc w:val="both"/>
        <w:rPr>
          <w:rFonts w:ascii="Tahoma" w:hAnsi="Tahoma" w:cs="Tahoma"/>
          <w:szCs w:val="20"/>
        </w:rPr>
      </w:pPr>
      <w:r w:rsidRPr="00243E8A">
        <w:rPr>
          <w:rFonts w:ascii="Tahoma" w:hAnsi="Tahoma" w:cs="Tahoma"/>
          <w:szCs w:val="20"/>
        </w:rPr>
        <w:t>Ing. Michal Dostál, Ph.D., e-mail: michal.dostal1@vsb.cz, tel.: 596 992 959</w:t>
      </w:r>
    </w:p>
    <w:p w14:paraId="0E8A4377" w14:textId="2DD1BA51" w:rsidR="00724572" w:rsidRPr="00243E8A" w:rsidRDefault="001667D0" w:rsidP="00724572">
      <w:pPr>
        <w:pStyle w:val="Odstavecseseznamem"/>
        <w:keepLines/>
        <w:spacing w:before="60" w:after="0" w:line="240" w:lineRule="auto"/>
        <w:ind w:left="992"/>
        <w:contextualSpacing w:val="0"/>
        <w:jc w:val="both"/>
        <w:rPr>
          <w:rFonts w:ascii="Tahoma" w:hAnsi="Tahoma" w:cs="Tahoma"/>
          <w:szCs w:val="20"/>
        </w:rPr>
      </w:pPr>
      <w:r w:rsidRPr="00243E8A">
        <w:rPr>
          <w:rFonts w:ascii="Tahoma" w:hAnsi="Tahoma" w:cs="Tahoma"/>
          <w:szCs w:val="20"/>
        </w:rPr>
        <w:t>doc. Ing. Václav Nevrlý, Ph.D., e-mail: vaclav.nevrly@vsb.cz, tel.:  596 992 829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A77DE3D"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 xml:space="preserve">Dodavatel poskytuje Objednateli záruku za jakost dle </w:t>
      </w:r>
      <w:proofErr w:type="spellStart"/>
      <w:r w:rsidRPr="00243E8A">
        <w:rPr>
          <w:rFonts w:ascii="Tahoma" w:hAnsi="Tahoma" w:cs="Tahoma"/>
          <w:szCs w:val="20"/>
        </w:rPr>
        <w:t>ust</w:t>
      </w:r>
      <w:proofErr w:type="spellEnd"/>
      <w:r w:rsidRPr="00243E8A">
        <w:rPr>
          <w:rFonts w:ascii="Tahoma" w:hAnsi="Tahoma" w:cs="Tahoma"/>
          <w:szCs w:val="20"/>
        </w:rPr>
        <w:t xml:space="preserve">. § 2619 občanského zákoníku, a to v délce </w:t>
      </w:r>
      <w:r w:rsidR="001667D0" w:rsidRPr="00243E8A">
        <w:rPr>
          <w:rFonts w:ascii="Tahoma" w:hAnsi="Tahoma" w:cs="Tahoma"/>
          <w:szCs w:val="20"/>
        </w:rPr>
        <w:t>12</w:t>
      </w:r>
      <w:r w:rsidRPr="00243E8A">
        <w:rPr>
          <w:rFonts w:ascii="Tahoma" w:hAnsi="Tahoma" w:cs="Tahoma"/>
          <w:szCs w:val="20"/>
        </w:rPr>
        <w:t xml:space="preserve"> měsíců, přičemž běh záruční doby počíná provedením celého Plnění dle odstavce </w:t>
      </w:r>
      <w:r w:rsidR="008A7E4F" w:rsidRPr="00243E8A">
        <w:rPr>
          <w:rFonts w:ascii="Tahoma" w:hAnsi="Tahoma" w:cs="Tahoma"/>
          <w:szCs w:val="20"/>
        </w:rPr>
        <w:t xml:space="preserve">1. a </w:t>
      </w:r>
      <w:r w:rsidRPr="00243E8A">
        <w:rPr>
          <w:rFonts w:ascii="Tahoma" w:hAnsi="Tahoma" w:cs="Tahoma"/>
          <w:szCs w:val="20"/>
        </w:rPr>
        <w:t>2. článku IV. této Smlouvy. Zárukou za jakost se Dodavatel zavazuje, že Plnění bude po záruční dobu způsobilé</w:t>
      </w:r>
      <w:r w:rsidRPr="00197958">
        <w:rPr>
          <w:rFonts w:ascii="Tahoma" w:hAnsi="Tahoma" w:cs="Tahoma"/>
          <w:szCs w:val="20"/>
        </w:rPr>
        <w:t xml:space="preserve"> k použití pro obvyklý účel sjednaný </w:t>
      </w:r>
      <w:r w:rsidR="00FC7A79">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8A7E4F">
        <w:rPr>
          <w:rFonts w:ascii="Tahoma" w:hAnsi="Tahoma" w:cs="Tahoma"/>
          <w:szCs w:val="20"/>
        </w:rPr>
        <w:t>odpovídající</w:t>
      </w:r>
      <w:r w:rsidRPr="00197958">
        <w:rPr>
          <w:rFonts w:ascii="Tahoma" w:hAnsi="Tahoma" w:cs="Tahoma"/>
          <w:szCs w:val="20"/>
        </w:rPr>
        <w:t xml:space="preserve">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E25689B" w:rsidR="00C44A2E" w:rsidRPr="00243E8A"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w:t>
      </w:r>
      <w:r w:rsidRPr="00243E8A">
        <w:rPr>
          <w:rFonts w:ascii="Tahoma" w:hAnsi="Tahoma" w:cs="Tahoma"/>
          <w:szCs w:val="20"/>
        </w:rPr>
        <w:t xml:space="preserve">nejpozději do </w:t>
      </w:r>
      <w:r w:rsidR="001667D0" w:rsidRPr="00243E8A">
        <w:rPr>
          <w:rFonts w:ascii="Tahoma" w:hAnsi="Tahoma" w:cs="Tahoma"/>
          <w:szCs w:val="20"/>
        </w:rPr>
        <w:t>30</w:t>
      </w:r>
      <w:r w:rsidRPr="00243E8A">
        <w:rPr>
          <w:rFonts w:ascii="Tahoma" w:hAnsi="Tahoma" w:cs="Tahoma"/>
          <w:szCs w:val="20"/>
        </w:rPr>
        <w:t xml:space="preserve"> dnů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43E8A">
        <w:rPr>
          <w:rFonts w:ascii="Tahoma" w:hAnsi="Tahoma" w:cs="Tahoma"/>
          <w:szCs w:val="20"/>
        </w:rPr>
        <w:t>Vada se považuje za odstraněnou v okamžiku, kdy jsou obnove</w:t>
      </w:r>
      <w:r w:rsidRPr="00197958">
        <w:rPr>
          <w:rFonts w:ascii="Tahoma" w:hAnsi="Tahoma" w:cs="Tahoma"/>
          <w:szCs w:val="20"/>
        </w:rPr>
        <w:t>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09A5A48E"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21" w:name="_Ref314036621"/>
      <w:r w:rsidRPr="00197958">
        <w:rPr>
          <w:rFonts w:ascii="Tahoma" w:hAnsi="Tahoma" w:cs="Tahoma"/>
          <w:sz w:val="20"/>
          <w:szCs w:val="20"/>
        </w:rPr>
        <w:lastRenderedPageBreak/>
        <w:t>SANKČNÍ UJEDNÁNÍ</w:t>
      </w:r>
      <w:bookmarkEnd w:id="21"/>
    </w:p>
    <w:p w14:paraId="20E9785D" w14:textId="1B25311E"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xml:space="preserve">% z ceny </w:t>
      </w:r>
      <w:r w:rsidR="00C803ED">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00C803ED">
        <w:rPr>
          <w:rFonts w:ascii="Tahoma" w:hAnsi="Tahoma" w:cs="Tahoma"/>
          <w:szCs w:val="20"/>
        </w:rPr>
        <w:t xml:space="preserve"> odst. 1.</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64BE87B6"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434F4F59"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C803ED">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374339E1"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00C803ED">
        <w:rPr>
          <w:rFonts w:ascii="Tahoma" w:hAnsi="Tahoma" w:cs="Tahoma"/>
          <w:szCs w:val="20"/>
        </w:rPr>
        <w:t>, resp. Dodavatele</w:t>
      </w:r>
      <w:r>
        <w:rPr>
          <w:rFonts w:ascii="Tahoma" w:hAnsi="Tahoma" w:cs="Tahoma"/>
          <w:szCs w:val="20"/>
        </w:rPr>
        <w:t>)</w:t>
      </w:r>
      <w:r w:rsidRPr="00901121">
        <w:rPr>
          <w:rFonts w:ascii="Tahoma" w:hAnsi="Tahoma" w:cs="Tahoma"/>
          <w:szCs w:val="20"/>
        </w:rPr>
        <w:t xml:space="preserve">. Stejným způsobem oznámí druhé </w:t>
      </w:r>
      <w:r w:rsidR="00C803ED">
        <w:rPr>
          <w:rFonts w:ascii="Tahoma" w:hAnsi="Tahoma" w:cs="Tahoma"/>
          <w:szCs w:val="20"/>
        </w:rPr>
        <w:t xml:space="preserve">smluvní </w:t>
      </w:r>
      <w:r w:rsidRPr="00901121">
        <w:rPr>
          <w:rFonts w:ascii="Tahoma" w:hAnsi="Tahoma" w:cs="Tahoma"/>
          <w:szCs w:val="20"/>
        </w:rPr>
        <w:t>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3"/>
      <w:bookmarkEnd w:id="14"/>
      <w:bookmarkEnd w:id="15"/>
      <w:r w:rsidRPr="00774959">
        <w:rPr>
          <w:rFonts w:ascii="Tahoma" w:hAnsi="Tahoma" w:cs="Tahoma"/>
          <w:sz w:val="20"/>
          <w:szCs w:val="20"/>
        </w:rPr>
        <w:t>, ODSTOUPENÍ</w:t>
      </w:r>
    </w:p>
    <w:p w14:paraId="322BBCEC" w14:textId="77777777" w:rsidR="00C803ED" w:rsidRPr="00C803ED" w:rsidRDefault="00C803ED" w:rsidP="00C803ED">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C803ED">
        <w:rPr>
          <w:rFonts w:ascii="Tahoma" w:hAnsi="Tahoma" w:cs="Tahoma"/>
          <w:szCs w:val="20"/>
        </w:rPr>
        <w:t>Smlouva nabývá platnosti dnem jejího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Uveřejnění v registru smluv provede v souladu se zákonem uvedeným v předchozí větě Objednatel.</w:t>
      </w:r>
    </w:p>
    <w:p w14:paraId="093DE79A" w14:textId="157B3DB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9" w:name="_Ref195960005"/>
      <w:r w:rsidRPr="00774959">
        <w:rPr>
          <w:rFonts w:ascii="Tahoma" w:hAnsi="Tahoma" w:cs="Tahoma"/>
          <w:szCs w:val="20"/>
        </w:rPr>
        <w:t>Každá smluvní strana je oprávněna odstoupit od této Smlouvy pouze z důvodů stanovených touto Smlouvou</w:t>
      </w:r>
      <w:r w:rsidR="00C803ED" w:rsidRPr="00C803ED">
        <w:t xml:space="preserve"> </w:t>
      </w:r>
      <w:r w:rsidR="00C803ED" w:rsidRPr="00C803ED">
        <w:rPr>
          <w:rFonts w:ascii="Tahoma" w:hAnsi="Tahoma" w:cs="Tahoma"/>
          <w:szCs w:val="20"/>
        </w:rPr>
        <w:t>nebo občanským zákoníkem.</w:t>
      </w:r>
    </w:p>
    <w:p w14:paraId="26EABCB0" w14:textId="286E295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C803ED">
        <w:rPr>
          <w:rFonts w:ascii="Tahoma" w:hAnsi="Tahoma" w:cs="Tahoma"/>
          <w:szCs w:val="20"/>
        </w:rPr>
        <w:t xml:space="preserve">právo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9"/>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0"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0"/>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1" w:name="_Ref275368026"/>
      <w:bookmarkStart w:id="32"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1"/>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2"/>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11C1BFB2"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C803ED">
        <w:rPr>
          <w:rFonts w:ascii="Tahoma" w:hAnsi="Tahoma" w:cs="Tahoma"/>
          <w:szCs w:val="20"/>
        </w:rPr>
        <w:t>ů</w:t>
      </w:r>
      <w:r w:rsidRPr="00197958">
        <w:rPr>
          <w:rFonts w:ascii="Tahoma" w:hAnsi="Tahoma" w:cs="Tahoma"/>
          <w:szCs w:val="20"/>
        </w:rPr>
        <w:t xml:space="preserve"> z odpovědnosti za škodu a nárok</w:t>
      </w:r>
      <w:r w:rsidR="00C803ED">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C803ED">
        <w:rPr>
          <w:rFonts w:ascii="Tahoma" w:hAnsi="Tahoma" w:cs="Tahoma"/>
          <w:szCs w:val="20"/>
        </w:rPr>
        <w:t>ů</w:t>
      </w:r>
      <w:r w:rsidRPr="00197958">
        <w:rPr>
          <w:rFonts w:ascii="Tahoma" w:hAnsi="Tahoma" w:cs="Tahoma"/>
          <w:szCs w:val="20"/>
        </w:rPr>
        <w:t>, z jejichž povahy vyplývá, že mají trvat i po zániku účinnosti této Smlouvy.</w:t>
      </w:r>
    </w:p>
    <w:bookmarkEnd w:id="22"/>
    <w:bookmarkEnd w:id="23"/>
    <w:bookmarkEnd w:id="24"/>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5"/>
    <w:bookmarkEnd w:id="26"/>
    <w:bookmarkEnd w:id="27"/>
    <w:bookmarkEnd w:id="28"/>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lastRenderedPageBreak/>
        <w:t>ZÁVĚREČNÁ</w:t>
      </w:r>
      <w:r w:rsidRPr="00197958">
        <w:rPr>
          <w:rFonts w:ascii="Tahoma" w:hAnsi="Tahoma" w:cs="Tahoma"/>
          <w:spacing w:val="-4"/>
          <w:sz w:val="20"/>
          <w:szCs w:val="20"/>
        </w:rPr>
        <w:t xml:space="preserve"> USTANOVENÍ</w:t>
      </w:r>
    </w:p>
    <w:p w14:paraId="1997059B" w14:textId="72B2F2D2"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3"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C803ED">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3AC3AC7D"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w:t>
      </w:r>
      <w:r w:rsidR="00C803ED">
        <w:rPr>
          <w:rFonts w:ascii="Tahoma" w:hAnsi="Tahoma" w:cs="Tahoma"/>
          <w:szCs w:val="20"/>
        </w:rPr>
        <w:t xml:space="preserve">z </w:t>
      </w:r>
      <w:r w:rsidRPr="00197958">
        <w:rPr>
          <w:rFonts w:ascii="Tahoma" w:hAnsi="Tahoma" w:cs="Tahoma"/>
          <w:szCs w:val="20"/>
        </w:rPr>
        <w:t xml:space="preserve">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3"/>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F64B91E"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09686F">
        <w:rPr>
          <w:rFonts w:ascii="Tahoma" w:hAnsi="Tahoma" w:cs="Tahoma"/>
          <w:szCs w:val="20"/>
        </w:rPr>
        <w:t>nebo v listinné podobě ve dvou stejnopisech,</w:t>
      </w:r>
      <w:r w:rsidR="0009686F">
        <w:rPr>
          <w:rFonts w:ascii="Tahoma" w:hAnsi="Tahoma" w:cs="Tahoma"/>
          <w:color w:val="000000"/>
          <w:szCs w:val="20"/>
        </w:rPr>
        <w:t xml:space="preserve"> </w:t>
      </w:r>
      <w:r>
        <w:rPr>
          <w:rFonts w:ascii="Tahoma" w:hAnsi="Tahoma" w:cs="Tahoma"/>
          <w:color w:val="000000"/>
          <w:szCs w:val="20"/>
        </w:rPr>
        <w:t>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5"/>
        <w:gridCol w:w="4535"/>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3F5F30D2" w:rsidR="006C08A4" w:rsidRPr="00DC0C4D" w:rsidRDefault="001667D0" w:rsidP="00E74D4B">
            <w:pPr>
              <w:pStyle w:val="RLdajeosmluvnstran"/>
              <w:keepLines/>
              <w:spacing w:before="120" w:after="0" w:line="240" w:lineRule="auto"/>
              <w:rPr>
                <w:rFonts w:ascii="Tahoma" w:hAnsi="Tahoma" w:cs="Tahoma"/>
                <w:b/>
                <w:bCs/>
                <w:szCs w:val="20"/>
              </w:rPr>
            </w:pPr>
            <w:r w:rsidRPr="00DC0C4D">
              <w:rPr>
                <w:rFonts w:ascii="Tahoma" w:hAnsi="Tahoma" w:cs="Tahoma"/>
                <w:b/>
                <w:bCs/>
                <w:szCs w:val="20"/>
              </w:rPr>
              <w:t>Vysoká škola báňská – Technická univerzita Ostrava</w:t>
            </w:r>
          </w:p>
          <w:p w14:paraId="36A6205B" w14:textId="77777777" w:rsidR="00DC0C4D" w:rsidRPr="00DC0C4D" w:rsidRDefault="001667D0" w:rsidP="00724572">
            <w:pPr>
              <w:pStyle w:val="RLdajeosmluvnstran"/>
              <w:keepLines/>
              <w:spacing w:after="0" w:line="240" w:lineRule="auto"/>
              <w:rPr>
                <w:rFonts w:ascii="Tahoma" w:hAnsi="Tahoma" w:cs="Tahoma"/>
                <w:szCs w:val="20"/>
              </w:rPr>
            </w:pPr>
            <w:r w:rsidRPr="00DC0C4D">
              <w:rPr>
                <w:rFonts w:ascii="Tahoma" w:hAnsi="Tahoma" w:cs="Tahoma"/>
                <w:szCs w:val="20"/>
              </w:rPr>
              <w:t>prof. Ing. Igor Ivan, Ph.D.</w:t>
            </w:r>
          </w:p>
          <w:p w14:paraId="06BFD0F8" w14:textId="141CF9C1" w:rsidR="006C08A4" w:rsidRPr="00197958" w:rsidRDefault="001667D0" w:rsidP="00724572">
            <w:pPr>
              <w:pStyle w:val="RLdajeosmluvnstran"/>
              <w:keepLines/>
              <w:spacing w:after="0" w:line="240" w:lineRule="auto"/>
              <w:rPr>
                <w:rFonts w:ascii="Tahoma" w:hAnsi="Tahoma" w:cs="Tahoma"/>
                <w:szCs w:val="20"/>
              </w:rPr>
            </w:pPr>
            <w:r w:rsidRPr="00DC0C4D">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4"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4"/>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1CAE26F8" w14:textId="77777777" w:rsidR="00147F40" w:rsidRPr="004614F0" w:rsidRDefault="00147F40" w:rsidP="00147F40">
      <w:pPr>
        <w:keepLines/>
        <w:spacing w:before="120" w:line="240" w:lineRule="auto"/>
        <w:rPr>
          <w:rFonts w:ascii="Tahoma" w:hAnsi="Tahoma" w:cs="Tahoma"/>
          <w:b/>
          <w:szCs w:val="20"/>
        </w:rPr>
      </w:pPr>
      <w:bookmarkStart w:id="35" w:name="_Hlk61021256"/>
      <w:r w:rsidRPr="004614F0">
        <w:rPr>
          <w:rFonts w:ascii="Tahoma" w:hAnsi="Tahoma" w:cs="Tahoma"/>
          <w:szCs w:val="20"/>
        </w:rPr>
        <w:lastRenderedPageBreak/>
        <w:t>Příloha č. 1 -</w:t>
      </w:r>
      <w:r w:rsidRPr="004614F0">
        <w:rPr>
          <w:rFonts w:ascii="Tahoma" w:hAnsi="Tahoma" w:cs="Tahoma"/>
          <w:b/>
          <w:color w:val="000000"/>
          <w:szCs w:val="20"/>
        </w:rPr>
        <w:t xml:space="preserve"> Technická</w:t>
      </w:r>
      <w:r w:rsidRPr="004614F0">
        <w:rPr>
          <w:rFonts w:ascii="Tahoma" w:hAnsi="Tahoma" w:cs="Tahoma"/>
          <w:b/>
          <w:szCs w:val="20"/>
        </w:rPr>
        <w:t xml:space="preserve"> specifikace </w:t>
      </w:r>
    </w:p>
    <w:p w14:paraId="6019A978" w14:textId="77777777" w:rsidR="00147F40" w:rsidRPr="004614F0" w:rsidRDefault="00147F40" w:rsidP="00147F40">
      <w:pPr>
        <w:keepLines/>
        <w:spacing w:before="120" w:line="240" w:lineRule="auto"/>
        <w:jc w:val="center"/>
        <w:rPr>
          <w:rFonts w:ascii="Tahoma" w:hAnsi="Tahoma" w:cs="Tahoma"/>
          <w:b/>
          <w:szCs w:val="20"/>
        </w:rPr>
      </w:pPr>
      <w:bookmarkStart w:id="36" w:name="_Hlk60952922"/>
      <w:bookmarkEnd w:id="36"/>
    </w:p>
    <w:p w14:paraId="53875555" w14:textId="77777777" w:rsidR="00147F40" w:rsidRPr="004614F0" w:rsidRDefault="00147F40" w:rsidP="00147F40">
      <w:pPr>
        <w:keepLines/>
        <w:spacing w:before="120" w:line="240" w:lineRule="auto"/>
        <w:jc w:val="center"/>
        <w:rPr>
          <w:rFonts w:ascii="Tahoma" w:hAnsi="Tahoma" w:cs="Tahoma"/>
          <w:b/>
          <w:sz w:val="24"/>
          <w:szCs w:val="24"/>
        </w:rPr>
      </w:pPr>
      <w:r w:rsidRPr="004614F0">
        <w:rPr>
          <w:rFonts w:ascii="Tahoma" w:hAnsi="Tahoma" w:cs="Tahoma"/>
          <w:b/>
          <w:sz w:val="24"/>
          <w:szCs w:val="24"/>
        </w:rPr>
        <w:t xml:space="preserve">Technická specifikace </w:t>
      </w:r>
    </w:p>
    <w:bookmarkEnd w:id="35"/>
    <w:p w14:paraId="09E17792" w14:textId="77777777" w:rsidR="00147F40" w:rsidRPr="004614F0" w:rsidRDefault="00147F40" w:rsidP="00147F40">
      <w:pPr>
        <w:jc w:val="center"/>
        <w:rPr>
          <w:rFonts w:ascii="Tahoma" w:hAnsi="Tahoma" w:cs="Tahoma"/>
          <w:b/>
          <w:iCs/>
          <w:sz w:val="24"/>
          <w:szCs w:val="24"/>
        </w:rPr>
      </w:pPr>
      <w:r w:rsidRPr="004614F0">
        <w:rPr>
          <w:rFonts w:ascii="Tahoma" w:hAnsi="Tahoma" w:cs="Tahoma"/>
          <w:b/>
          <w:iCs/>
          <w:sz w:val="24"/>
          <w:szCs w:val="24"/>
        </w:rPr>
        <w:t>Sestava vakuové aparatury</w:t>
      </w:r>
    </w:p>
    <w:p w14:paraId="29B4DFC7" w14:textId="77777777" w:rsidR="00147F40" w:rsidRPr="004614F0" w:rsidRDefault="00147F40" w:rsidP="00147F40">
      <w:pPr>
        <w:jc w:val="center"/>
        <w:rPr>
          <w:rFonts w:ascii="Tahoma" w:hAnsi="Tahoma" w:cs="Tahoma"/>
          <w:b/>
          <w:i/>
        </w:rPr>
      </w:pPr>
    </w:p>
    <w:p w14:paraId="1AF99090" w14:textId="77777777" w:rsidR="00147F40" w:rsidRDefault="00147F40" w:rsidP="00147F40">
      <w:pPr>
        <w:spacing w:line="240" w:lineRule="auto"/>
        <w:rPr>
          <w:rFonts w:ascii="Tahoma" w:hAnsi="Tahoma" w:cs="Tahoma"/>
          <w:szCs w:val="20"/>
        </w:rPr>
      </w:pPr>
      <w:r>
        <w:rPr>
          <w:rFonts w:ascii="Tahoma" w:hAnsi="Tahoma" w:cs="Tahoma"/>
          <w:szCs w:val="20"/>
        </w:rPr>
        <w:t>Jedná se o sestavu vakuové aparatury, která musí obsahovat níže uvedené součástí a splňovat alespoň následující požadavky:</w:t>
      </w:r>
    </w:p>
    <w:p w14:paraId="732BB1C9" w14:textId="77777777" w:rsidR="00147F40" w:rsidRPr="004614F0" w:rsidRDefault="00147F40" w:rsidP="00147F40">
      <w:pPr>
        <w:pStyle w:val="Odstavecseseznamem"/>
        <w:numPr>
          <w:ilvl w:val="0"/>
          <w:numId w:val="38"/>
        </w:numPr>
        <w:spacing w:before="360" w:after="0" w:line="240" w:lineRule="auto"/>
        <w:ind w:left="567" w:hanging="567"/>
        <w:contextualSpacing w:val="0"/>
        <w:rPr>
          <w:rFonts w:ascii="Tahoma" w:hAnsi="Tahoma" w:cs="Tahoma"/>
          <w:b/>
          <w:bCs/>
          <w:szCs w:val="20"/>
        </w:rPr>
      </w:pPr>
      <w:r w:rsidRPr="004614F0">
        <w:rPr>
          <w:rFonts w:ascii="Tahoma" w:hAnsi="Tahoma" w:cs="Tahoma"/>
          <w:b/>
          <w:bCs/>
          <w:szCs w:val="20"/>
        </w:rPr>
        <w:t xml:space="preserve">Skleněná </w:t>
      </w:r>
      <w:proofErr w:type="spellStart"/>
      <w:r w:rsidRPr="004614F0">
        <w:rPr>
          <w:rFonts w:ascii="Tahoma" w:hAnsi="Tahoma" w:cs="Tahoma"/>
          <w:b/>
          <w:bCs/>
          <w:szCs w:val="20"/>
        </w:rPr>
        <w:t>Schlenkova</w:t>
      </w:r>
      <w:proofErr w:type="spellEnd"/>
      <w:r w:rsidRPr="004614F0">
        <w:rPr>
          <w:rFonts w:ascii="Tahoma" w:hAnsi="Tahoma" w:cs="Tahoma"/>
          <w:b/>
          <w:bCs/>
          <w:szCs w:val="20"/>
        </w:rPr>
        <w:t xml:space="preserve"> vakuová linka s </w:t>
      </w:r>
      <w:proofErr w:type="spellStart"/>
      <w:r w:rsidRPr="004614F0">
        <w:rPr>
          <w:rFonts w:ascii="Tahoma" w:hAnsi="Tahoma" w:cs="Tahoma"/>
          <w:b/>
          <w:bCs/>
          <w:szCs w:val="20"/>
        </w:rPr>
        <w:t>vymražovací</w:t>
      </w:r>
      <w:proofErr w:type="spellEnd"/>
      <w:r w:rsidRPr="004614F0">
        <w:rPr>
          <w:rFonts w:ascii="Tahoma" w:hAnsi="Tahoma" w:cs="Tahoma"/>
          <w:b/>
          <w:bCs/>
          <w:szCs w:val="20"/>
        </w:rPr>
        <w:t xml:space="preserve"> pastí</w:t>
      </w:r>
    </w:p>
    <w:p w14:paraId="6E50652D" w14:textId="77777777" w:rsidR="00147F40" w:rsidRPr="004614F0" w:rsidRDefault="00147F40" w:rsidP="00147F40">
      <w:pPr>
        <w:spacing w:before="120" w:line="240" w:lineRule="auto"/>
        <w:ind w:left="567"/>
        <w:rPr>
          <w:rFonts w:ascii="Tahoma" w:hAnsi="Tahoma" w:cs="Tahoma"/>
          <w:i/>
          <w:color w:val="FF0000"/>
          <w:szCs w:val="20"/>
          <w:u w:val="single"/>
        </w:rPr>
      </w:pPr>
      <w:r w:rsidRPr="004614F0">
        <w:rPr>
          <w:rFonts w:ascii="Tahoma" w:hAnsi="Tahoma" w:cs="Tahoma"/>
          <w:szCs w:val="20"/>
        </w:rPr>
        <w:t xml:space="preserve">Výrobce: </w:t>
      </w:r>
      <w:r w:rsidRPr="004614F0">
        <w:rPr>
          <w:rFonts w:ascii="Tahoma" w:hAnsi="Tahoma" w:cs="Tahoma"/>
          <w:szCs w:val="20"/>
        </w:rPr>
        <w:tab/>
      </w:r>
      <w:r w:rsidRPr="004614F0">
        <w:rPr>
          <w:rFonts w:ascii="Tahoma" w:hAnsi="Tahoma" w:cs="Tahoma"/>
          <w:szCs w:val="20"/>
        </w:rPr>
        <w:tab/>
      </w:r>
      <w:r w:rsidRPr="004614F0">
        <w:rPr>
          <w:rFonts w:ascii="Tahoma" w:hAnsi="Tahoma" w:cs="Tahoma"/>
          <w:szCs w:val="20"/>
        </w:rPr>
        <w:tab/>
      </w:r>
      <w:r w:rsidRPr="004614F0">
        <w:rPr>
          <w:rFonts w:ascii="Tahoma" w:hAnsi="Tahoma" w:cs="Tahoma"/>
          <w:i/>
          <w:color w:val="FF0000"/>
          <w:szCs w:val="20"/>
          <w:u w:val="single"/>
        </w:rPr>
        <w:t>uvede účastník</w:t>
      </w:r>
    </w:p>
    <w:p w14:paraId="1D46649D" w14:textId="77777777" w:rsidR="00147F40" w:rsidRPr="004614F0" w:rsidRDefault="00147F40" w:rsidP="00147F40">
      <w:pPr>
        <w:spacing w:before="120" w:line="240" w:lineRule="auto"/>
        <w:ind w:left="567"/>
        <w:rPr>
          <w:rFonts w:ascii="Tahoma" w:hAnsi="Tahoma" w:cs="Tahoma"/>
          <w:i/>
          <w:color w:val="FF0000"/>
          <w:szCs w:val="20"/>
          <w:u w:val="single"/>
        </w:rPr>
      </w:pPr>
      <w:r w:rsidRPr="004614F0">
        <w:rPr>
          <w:rFonts w:ascii="Tahoma" w:hAnsi="Tahoma" w:cs="Tahoma"/>
          <w:szCs w:val="20"/>
        </w:rPr>
        <w:t xml:space="preserve">Přesné typové označení: </w:t>
      </w:r>
      <w:r w:rsidRPr="004614F0">
        <w:rPr>
          <w:rFonts w:ascii="Tahoma" w:hAnsi="Tahoma" w:cs="Tahoma"/>
          <w:szCs w:val="20"/>
        </w:rPr>
        <w:tab/>
      </w:r>
      <w:r w:rsidRPr="004614F0">
        <w:rPr>
          <w:rFonts w:ascii="Tahoma" w:hAnsi="Tahoma" w:cs="Tahoma"/>
          <w:i/>
          <w:color w:val="FF0000"/>
          <w:szCs w:val="20"/>
          <w:u w:val="single"/>
        </w:rPr>
        <w:t>uvede účastník</w:t>
      </w:r>
    </w:p>
    <w:p w14:paraId="308E98DA" w14:textId="77777777" w:rsidR="00147F40" w:rsidRPr="00793A0B" w:rsidRDefault="00147F40" w:rsidP="00147F40">
      <w:pPr>
        <w:spacing w:before="120"/>
        <w:ind w:left="567"/>
        <w:jc w:val="both"/>
        <w:rPr>
          <w:rFonts w:ascii="Tahoma" w:hAnsi="Tahoma" w:cs="Tahoma"/>
          <w:bCs/>
          <w:szCs w:val="20"/>
        </w:rPr>
      </w:pPr>
      <w:r w:rsidRPr="004614F0">
        <w:rPr>
          <w:rFonts w:ascii="Tahoma" w:hAnsi="Tahoma" w:cs="Tahoma"/>
          <w:szCs w:val="20"/>
        </w:rPr>
        <w:t xml:space="preserve">Počet kusů: </w:t>
      </w:r>
      <w:r w:rsidRPr="004614F0">
        <w:rPr>
          <w:rFonts w:ascii="Tahoma" w:hAnsi="Tahoma" w:cs="Tahoma"/>
          <w:szCs w:val="20"/>
        </w:rPr>
        <w:tab/>
      </w:r>
      <w:r>
        <w:rPr>
          <w:rFonts w:ascii="Tahoma" w:hAnsi="Tahoma" w:cs="Tahoma"/>
          <w:bCs/>
          <w:szCs w:val="20"/>
        </w:rPr>
        <w:tab/>
      </w:r>
      <w:r w:rsidRPr="00793A0B">
        <w:rPr>
          <w:rFonts w:ascii="Tahoma" w:hAnsi="Tahoma" w:cs="Tahoma"/>
          <w:bCs/>
          <w:szCs w:val="20"/>
        </w:rPr>
        <w:t xml:space="preserve">1 ks </w:t>
      </w:r>
    </w:p>
    <w:p w14:paraId="698AB76A" w14:textId="77777777" w:rsidR="00147F40" w:rsidRPr="004614F0" w:rsidRDefault="00147F40" w:rsidP="00147F40">
      <w:pPr>
        <w:spacing w:before="240" w:line="240" w:lineRule="auto"/>
        <w:ind w:left="567"/>
        <w:rPr>
          <w:rFonts w:ascii="Tahoma" w:hAnsi="Tahoma" w:cs="Tahoma"/>
          <w:szCs w:val="20"/>
          <w:u w:val="single"/>
        </w:rPr>
      </w:pPr>
      <w:r w:rsidRPr="004614F0">
        <w:rPr>
          <w:rFonts w:ascii="Tahoma" w:hAnsi="Tahoma" w:cs="Tahoma"/>
          <w:szCs w:val="20"/>
          <w:u w:val="single"/>
        </w:rPr>
        <w:t>Požadované parametry:</w:t>
      </w:r>
    </w:p>
    <w:p w14:paraId="09AB3DA5"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 xml:space="preserve">Skleněná </w:t>
      </w:r>
      <w:proofErr w:type="spellStart"/>
      <w:r w:rsidRPr="004614F0">
        <w:rPr>
          <w:rFonts w:ascii="Tahoma" w:hAnsi="Tahoma" w:cs="Tahoma"/>
          <w:szCs w:val="20"/>
        </w:rPr>
        <w:t>Schlenkova</w:t>
      </w:r>
      <w:proofErr w:type="spellEnd"/>
      <w:r w:rsidRPr="004614F0">
        <w:rPr>
          <w:rFonts w:ascii="Tahoma" w:hAnsi="Tahoma" w:cs="Tahoma"/>
          <w:szCs w:val="20"/>
        </w:rPr>
        <w:t xml:space="preserve"> linka (vakuový </w:t>
      </w:r>
      <w:proofErr w:type="spellStart"/>
      <w:r w:rsidRPr="004614F0">
        <w:rPr>
          <w:rFonts w:ascii="Tahoma" w:hAnsi="Tahoma" w:cs="Tahoma"/>
          <w:szCs w:val="20"/>
        </w:rPr>
        <w:t>manifold</w:t>
      </w:r>
      <w:proofErr w:type="spellEnd"/>
      <w:r w:rsidRPr="004614F0">
        <w:rPr>
          <w:rFonts w:ascii="Tahoma" w:hAnsi="Tahoma" w:cs="Tahoma"/>
          <w:szCs w:val="20"/>
        </w:rPr>
        <w:t>) z borosilikátového skla 3.3 nebo ekvivalentu, vhodná pro práci s inertní atmosférou a vakuem.</w:t>
      </w:r>
    </w:p>
    <w:p w14:paraId="09689825"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 xml:space="preserve">Minimálně 5 samostatných portů pro připojení vzorků na vakuovou větev, každý osazený </w:t>
      </w:r>
      <w:proofErr w:type="spellStart"/>
      <w:r w:rsidRPr="004614F0">
        <w:rPr>
          <w:rFonts w:ascii="Tahoma" w:hAnsi="Tahoma" w:cs="Tahoma"/>
          <w:szCs w:val="20"/>
        </w:rPr>
        <w:t>high‑vacuum</w:t>
      </w:r>
      <w:proofErr w:type="spellEnd"/>
      <w:r w:rsidRPr="004614F0">
        <w:rPr>
          <w:rFonts w:ascii="Tahoma" w:hAnsi="Tahoma" w:cs="Tahoma"/>
          <w:szCs w:val="20"/>
        </w:rPr>
        <w:t xml:space="preserve"> ventilem typu </w:t>
      </w:r>
      <w:proofErr w:type="spellStart"/>
      <w:r w:rsidRPr="004614F0">
        <w:rPr>
          <w:rFonts w:ascii="Tahoma" w:hAnsi="Tahoma" w:cs="Tahoma"/>
          <w:szCs w:val="20"/>
        </w:rPr>
        <w:t>stopcock</w:t>
      </w:r>
      <w:proofErr w:type="spellEnd"/>
      <w:r w:rsidRPr="004614F0">
        <w:rPr>
          <w:rFonts w:ascii="Tahoma" w:hAnsi="Tahoma" w:cs="Tahoma"/>
          <w:szCs w:val="20"/>
        </w:rPr>
        <w:t xml:space="preserve"> se skleněným tělem a vnitřním PTFE </w:t>
      </w:r>
      <w:proofErr w:type="spellStart"/>
      <w:r w:rsidRPr="004614F0">
        <w:rPr>
          <w:rFonts w:ascii="Tahoma" w:hAnsi="Tahoma" w:cs="Tahoma"/>
          <w:szCs w:val="20"/>
        </w:rPr>
        <w:t>plugem</w:t>
      </w:r>
      <w:proofErr w:type="spellEnd"/>
      <w:r w:rsidRPr="004614F0">
        <w:rPr>
          <w:rFonts w:ascii="Tahoma" w:hAnsi="Tahoma" w:cs="Tahoma"/>
          <w:szCs w:val="20"/>
        </w:rPr>
        <w:t xml:space="preserve"> s</w:t>
      </w:r>
      <w:r>
        <w:rPr>
          <w:rFonts w:ascii="Tahoma" w:hAnsi="Tahoma" w:cs="Tahoma"/>
          <w:szCs w:val="20"/>
        </w:rPr>
        <w:t> </w:t>
      </w:r>
      <w:r w:rsidRPr="004614F0">
        <w:rPr>
          <w:rFonts w:ascii="Tahoma" w:hAnsi="Tahoma" w:cs="Tahoma"/>
          <w:szCs w:val="20"/>
        </w:rPr>
        <w:t>O‑ringovým těsněním, konstrukčně určeným pro vysoké vakuum.</w:t>
      </w:r>
    </w:p>
    <w:p w14:paraId="0CA17592"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Všechny porty musí mít vnější průměr trubky odpovídající 1/4" pro přímé připojení standardních laboratorních vakuových O‑ringových spojek; průměr musí být jednotný pro všech 5 portů.</w:t>
      </w:r>
    </w:p>
    <w:p w14:paraId="2928295F"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 xml:space="preserve">Linka musí být kompletně uzavíratelná: jednotlivé porty uzavíratelné samostatně a zároveň musí být možné uzavřít hlavní vakuovou větev vůči vývěvě i vůči okolí pomocí </w:t>
      </w:r>
      <w:proofErr w:type="spellStart"/>
      <w:r w:rsidRPr="004614F0">
        <w:rPr>
          <w:rFonts w:ascii="Tahoma" w:hAnsi="Tahoma" w:cs="Tahoma"/>
          <w:szCs w:val="20"/>
        </w:rPr>
        <w:t>high‑vacuum</w:t>
      </w:r>
      <w:proofErr w:type="spellEnd"/>
      <w:r w:rsidRPr="004614F0">
        <w:rPr>
          <w:rFonts w:ascii="Tahoma" w:hAnsi="Tahoma" w:cs="Tahoma"/>
          <w:szCs w:val="20"/>
        </w:rPr>
        <w:t xml:space="preserve"> ventilů.</w:t>
      </w:r>
    </w:p>
    <w:p w14:paraId="04C7F85C"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 xml:space="preserve">Integrovaná </w:t>
      </w:r>
      <w:proofErr w:type="spellStart"/>
      <w:r w:rsidRPr="004614F0">
        <w:rPr>
          <w:rFonts w:ascii="Tahoma" w:hAnsi="Tahoma" w:cs="Tahoma"/>
          <w:szCs w:val="20"/>
        </w:rPr>
        <w:t>vymražovací</w:t>
      </w:r>
      <w:proofErr w:type="spellEnd"/>
      <w:r w:rsidRPr="004614F0">
        <w:rPr>
          <w:rFonts w:ascii="Tahoma" w:hAnsi="Tahoma" w:cs="Tahoma"/>
          <w:szCs w:val="20"/>
        </w:rPr>
        <w:t xml:space="preserve"> (</w:t>
      </w:r>
      <w:proofErr w:type="spellStart"/>
      <w:r w:rsidRPr="004614F0">
        <w:rPr>
          <w:rFonts w:ascii="Tahoma" w:hAnsi="Tahoma" w:cs="Tahoma"/>
          <w:szCs w:val="20"/>
        </w:rPr>
        <w:t>cold</w:t>
      </w:r>
      <w:proofErr w:type="spellEnd"/>
      <w:r w:rsidRPr="004614F0">
        <w:rPr>
          <w:rFonts w:ascii="Tahoma" w:hAnsi="Tahoma" w:cs="Tahoma"/>
          <w:szCs w:val="20"/>
        </w:rPr>
        <w:t>) past mezi vakuovou linkou a vakuovou vývěvou, vhodná pro použití se suchým ledem/</w:t>
      </w:r>
      <w:proofErr w:type="spellStart"/>
      <w:r w:rsidRPr="004614F0">
        <w:rPr>
          <w:rFonts w:ascii="Tahoma" w:hAnsi="Tahoma" w:cs="Tahoma"/>
          <w:szCs w:val="20"/>
        </w:rPr>
        <w:t>acetónem</w:t>
      </w:r>
      <w:proofErr w:type="spellEnd"/>
      <w:r w:rsidRPr="004614F0">
        <w:rPr>
          <w:rFonts w:ascii="Tahoma" w:hAnsi="Tahoma" w:cs="Tahoma"/>
          <w:szCs w:val="20"/>
        </w:rPr>
        <w:t xml:space="preserve"> nebo kapalným dusíkem, s dostatečným objemem pro zachytávání kondenzovatelných par.</w:t>
      </w:r>
    </w:p>
    <w:p w14:paraId="068F828B"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 xml:space="preserve">Samostatný port na vakuové větvi určený pro připojení vakuového měřidla, vybavený vlastním </w:t>
      </w:r>
      <w:proofErr w:type="spellStart"/>
      <w:r w:rsidRPr="004614F0">
        <w:rPr>
          <w:rFonts w:ascii="Tahoma" w:hAnsi="Tahoma" w:cs="Tahoma"/>
          <w:szCs w:val="20"/>
        </w:rPr>
        <w:t>high‑vacuum</w:t>
      </w:r>
      <w:proofErr w:type="spellEnd"/>
      <w:r w:rsidRPr="004614F0">
        <w:rPr>
          <w:rFonts w:ascii="Tahoma" w:hAnsi="Tahoma" w:cs="Tahoma"/>
          <w:szCs w:val="20"/>
        </w:rPr>
        <w:t xml:space="preserve"> ventilem pro oddělení měřidla od linky.</w:t>
      </w:r>
    </w:p>
    <w:p w14:paraId="4A8FCCE9"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Přípojka pro vakuovou vývěvu (hadicový nástavec nebo standardní skleněný joint) dimenzovaná pro kompatibilitu s běžnými laboratorními vývěvami; vnitřní průměr minimálně 8 mm.</w:t>
      </w:r>
    </w:p>
    <w:p w14:paraId="09B4EC40"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Konstrukce umožňující montáž do digestoře nebo na laboratorní rám (integrované skleněné úchyty / háčky kompatibilní se standardními laboratorními svorkami).</w:t>
      </w:r>
    </w:p>
    <w:p w14:paraId="7CD81269" w14:textId="77777777" w:rsidR="00147F40" w:rsidRPr="004614F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Materiál těsnění ve ventilech a spojkách chemicky odolný vůči běžným organickým rozpouštědlům používaným v inertní chemii a vůči inertním plynům.</w:t>
      </w:r>
    </w:p>
    <w:p w14:paraId="08474B12" w14:textId="77777777" w:rsidR="00147F40" w:rsidRDefault="00147F40" w:rsidP="00147F40">
      <w:pPr>
        <w:numPr>
          <w:ilvl w:val="0"/>
          <w:numId w:val="39"/>
        </w:numPr>
        <w:spacing w:before="120" w:after="0" w:line="240" w:lineRule="auto"/>
        <w:jc w:val="both"/>
        <w:rPr>
          <w:rFonts w:ascii="Tahoma" w:hAnsi="Tahoma" w:cs="Tahoma"/>
          <w:szCs w:val="20"/>
        </w:rPr>
      </w:pPr>
      <w:r w:rsidRPr="004614F0">
        <w:rPr>
          <w:rFonts w:ascii="Tahoma" w:hAnsi="Tahoma" w:cs="Tahoma"/>
          <w:szCs w:val="20"/>
        </w:rPr>
        <w:t>Provozní tlaková oblast: konstrukce a ventily musí být vhodné pro dosažení vysokého vakua v laboratorním měřítku (typicky až do řádu 1×10⁻³ mbar nebo lepší při použití vhodné vývěvy), bez nutnosti garantovat konkrétní konečný tlak systému.</w:t>
      </w:r>
    </w:p>
    <w:p w14:paraId="3217AE02" w14:textId="77777777" w:rsidR="00147F40" w:rsidRPr="004614F0" w:rsidRDefault="00147F40" w:rsidP="00147F40">
      <w:pPr>
        <w:pStyle w:val="Odstavecseseznamem"/>
        <w:keepNext/>
        <w:numPr>
          <w:ilvl w:val="0"/>
          <w:numId w:val="38"/>
        </w:numPr>
        <w:spacing w:before="360" w:after="0" w:line="240" w:lineRule="auto"/>
        <w:ind w:left="567" w:hanging="567"/>
        <w:contextualSpacing w:val="0"/>
        <w:rPr>
          <w:rFonts w:ascii="Tahoma" w:hAnsi="Tahoma" w:cs="Tahoma"/>
          <w:b/>
          <w:bCs/>
          <w:szCs w:val="20"/>
        </w:rPr>
      </w:pPr>
      <w:r w:rsidRPr="004614F0">
        <w:rPr>
          <w:rFonts w:ascii="Tahoma" w:hAnsi="Tahoma" w:cs="Tahoma"/>
          <w:b/>
          <w:bCs/>
          <w:szCs w:val="20"/>
        </w:rPr>
        <w:lastRenderedPageBreak/>
        <w:t xml:space="preserve">Suchá </w:t>
      </w:r>
      <w:proofErr w:type="spellStart"/>
      <w:r w:rsidRPr="004614F0">
        <w:rPr>
          <w:rFonts w:ascii="Tahoma" w:hAnsi="Tahoma" w:cs="Tahoma"/>
          <w:b/>
          <w:bCs/>
          <w:szCs w:val="20"/>
        </w:rPr>
        <w:t>scrollová</w:t>
      </w:r>
      <w:proofErr w:type="spellEnd"/>
      <w:r w:rsidRPr="004614F0">
        <w:rPr>
          <w:rFonts w:ascii="Tahoma" w:hAnsi="Tahoma" w:cs="Tahoma"/>
          <w:b/>
          <w:bCs/>
          <w:szCs w:val="20"/>
        </w:rPr>
        <w:t xml:space="preserve"> vakuová vývěva</w:t>
      </w:r>
    </w:p>
    <w:p w14:paraId="517B4C9B" w14:textId="77777777" w:rsidR="00147F40" w:rsidRPr="004614F0" w:rsidRDefault="00147F40" w:rsidP="00147F40">
      <w:pPr>
        <w:keepNext/>
        <w:spacing w:before="120" w:line="240" w:lineRule="auto"/>
        <w:ind w:left="567"/>
        <w:rPr>
          <w:rFonts w:ascii="Tahoma" w:hAnsi="Tahoma" w:cs="Tahoma"/>
          <w:i/>
          <w:color w:val="FF0000"/>
          <w:szCs w:val="20"/>
          <w:u w:val="single"/>
        </w:rPr>
      </w:pPr>
      <w:r w:rsidRPr="004614F0">
        <w:rPr>
          <w:rFonts w:ascii="Tahoma" w:hAnsi="Tahoma" w:cs="Tahoma"/>
          <w:szCs w:val="20"/>
        </w:rPr>
        <w:t xml:space="preserve">Výrobce: </w:t>
      </w:r>
      <w:r w:rsidRPr="004614F0">
        <w:rPr>
          <w:rFonts w:ascii="Tahoma" w:hAnsi="Tahoma" w:cs="Tahoma"/>
          <w:szCs w:val="20"/>
        </w:rPr>
        <w:tab/>
      </w:r>
      <w:r w:rsidRPr="004614F0">
        <w:rPr>
          <w:rFonts w:ascii="Tahoma" w:hAnsi="Tahoma" w:cs="Tahoma"/>
          <w:szCs w:val="20"/>
        </w:rPr>
        <w:tab/>
      </w:r>
      <w:r w:rsidRPr="004614F0">
        <w:rPr>
          <w:rFonts w:ascii="Tahoma" w:hAnsi="Tahoma" w:cs="Tahoma"/>
          <w:szCs w:val="20"/>
        </w:rPr>
        <w:tab/>
      </w:r>
      <w:r w:rsidRPr="004614F0">
        <w:rPr>
          <w:rFonts w:ascii="Tahoma" w:hAnsi="Tahoma" w:cs="Tahoma"/>
          <w:i/>
          <w:color w:val="FF0000"/>
          <w:szCs w:val="20"/>
          <w:u w:val="single"/>
        </w:rPr>
        <w:t>uvede účastník</w:t>
      </w:r>
    </w:p>
    <w:p w14:paraId="0236B3E6" w14:textId="77777777" w:rsidR="00147F40" w:rsidRPr="004614F0" w:rsidRDefault="00147F40" w:rsidP="00147F40">
      <w:pPr>
        <w:keepNext/>
        <w:spacing w:before="120" w:line="240" w:lineRule="auto"/>
        <w:ind w:left="567"/>
        <w:rPr>
          <w:rFonts w:ascii="Tahoma" w:hAnsi="Tahoma" w:cs="Tahoma"/>
          <w:i/>
          <w:color w:val="FF0000"/>
          <w:szCs w:val="20"/>
          <w:u w:val="single"/>
        </w:rPr>
      </w:pPr>
      <w:r w:rsidRPr="004614F0">
        <w:rPr>
          <w:rFonts w:ascii="Tahoma" w:hAnsi="Tahoma" w:cs="Tahoma"/>
          <w:szCs w:val="20"/>
        </w:rPr>
        <w:t xml:space="preserve">Přesné typové označení: </w:t>
      </w:r>
      <w:r w:rsidRPr="004614F0">
        <w:rPr>
          <w:rFonts w:ascii="Tahoma" w:hAnsi="Tahoma" w:cs="Tahoma"/>
          <w:szCs w:val="20"/>
        </w:rPr>
        <w:tab/>
      </w:r>
      <w:r w:rsidRPr="004614F0">
        <w:rPr>
          <w:rFonts w:ascii="Tahoma" w:hAnsi="Tahoma" w:cs="Tahoma"/>
          <w:i/>
          <w:color w:val="FF0000"/>
          <w:szCs w:val="20"/>
          <w:u w:val="single"/>
        </w:rPr>
        <w:t>uvede účastník</w:t>
      </w:r>
    </w:p>
    <w:p w14:paraId="07A02D04" w14:textId="77777777" w:rsidR="00147F40" w:rsidRPr="00793A0B" w:rsidRDefault="00147F40" w:rsidP="00147F40">
      <w:pPr>
        <w:keepNext/>
        <w:spacing w:before="120"/>
        <w:ind w:left="567"/>
        <w:jc w:val="both"/>
        <w:rPr>
          <w:rFonts w:ascii="Tahoma" w:hAnsi="Tahoma" w:cs="Tahoma"/>
          <w:bCs/>
          <w:szCs w:val="20"/>
        </w:rPr>
      </w:pPr>
      <w:r w:rsidRPr="004614F0">
        <w:rPr>
          <w:rFonts w:ascii="Tahoma" w:hAnsi="Tahoma" w:cs="Tahoma"/>
          <w:szCs w:val="20"/>
        </w:rPr>
        <w:t xml:space="preserve">Počet kusů: </w:t>
      </w:r>
      <w:r w:rsidRPr="004614F0">
        <w:rPr>
          <w:rFonts w:ascii="Tahoma" w:hAnsi="Tahoma" w:cs="Tahoma"/>
          <w:szCs w:val="20"/>
        </w:rPr>
        <w:tab/>
      </w:r>
      <w:r>
        <w:rPr>
          <w:rFonts w:ascii="Tahoma" w:hAnsi="Tahoma" w:cs="Tahoma"/>
          <w:bCs/>
          <w:szCs w:val="20"/>
        </w:rPr>
        <w:tab/>
      </w:r>
      <w:r w:rsidRPr="00793A0B">
        <w:rPr>
          <w:rFonts w:ascii="Tahoma" w:hAnsi="Tahoma" w:cs="Tahoma"/>
          <w:bCs/>
          <w:szCs w:val="20"/>
        </w:rPr>
        <w:t xml:space="preserve">1 ks </w:t>
      </w:r>
    </w:p>
    <w:p w14:paraId="26EB973F" w14:textId="77777777" w:rsidR="00147F40" w:rsidRPr="004614F0" w:rsidRDefault="00147F40" w:rsidP="00147F40">
      <w:pPr>
        <w:keepNext/>
        <w:spacing w:before="240" w:line="240" w:lineRule="auto"/>
        <w:ind w:left="567"/>
        <w:rPr>
          <w:rFonts w:ascii="Tahoma" w:hAnsi="Tahoma" w:cs="Tahoma"/>
          <w:szCs w:val="20"/>
          <w:u w:val="single"/>
        </w:rPr>
      </w:pPr>
      <w:r w:rsidRPr="004614F0">
        <w:rPr>
          <w:rFonts w:ascii="Tahoma" w:hAnsi="Tahoma" w:cs="Tahoma"/>
          <w:szCs w:val="20"/>
          <w:u w:val="single"/>
        </w:rPr>
        <w:t>Požadované parametry:</w:t>
      </w:r>
    </w:p>
    <w:p w14:paraId="37161D7A"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 xml:space="preserve">Typ vývěvy: suchá (bezolejová) </w:t>
      </w:r>
      <w:proofErr w:type="spellStart"/>
      <w:r w:rsidRPr="004614F0">
        <w:rPr>
          <w:rFonts w:ascii="Tahoma" w:hAnsi="Tahoma" w:cs="Tahoma"/>
          <w:szCs w:val="20"/>
        </w:rPr>
        <w:t>scrollová</w:t>
      </w:r>
      <w:proofErr w:type="spellEnd"/>
      <w:r w:rsidRPr="004614F0">
        <w:rPr>
          <w:rFonts w:ascii="Tahoma" w:hAnsi="Tahoma" w:cs="Tahoma"/>
          <w:szCs w:val="20"/>
        </w:rPr>
        <w:t xml:space="preserve"> vývěva pro laboratorní vakuové aparatury.</w:t>
      </w:r>
    </w:p>
    <w:p w14:paraId="6675947E"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Nominální čerpací rychlost: minimálně 12 m³/h.</w:t>
      </w:r>
    </w:p>
    <w:p w14:paraId="47CE8CBA"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Pr>
          <w:rFonts w:ascii="Tahoma" w:hAnsi="Tahoma" w:cs="Tahoma"/>
          <w:szCs w:val="20"/>
        </w:rPr>
        <w:t>Minimální dosažitelný tlak:</w:t>
      </w:r>
      <w:r w:rsidRPr="004614F0">
        <w:rPr>
          <w:rFonts w:ascii="Tahoma" w:hAnsi="Tahoma" w:cs="Tahoma"/>
          <w:szCs w:val="20"/>
        </w:rPr>
        <w:t xml:space="preserve"> lepší nebo roven 1,5×10⁻² mbar.</w:t>
      </w:r>
    </w:p>
    <w:p w14:paraId="59F98513"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Vstupní příruba: standardní KF/NW 25 nebo ekvivalent.</w:t>
      </w:r>
    </w:p>
    <w:p w14:paraId="54730B02"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Elektrické napájení: jednofázové 200–240 V, 50/60 Hz.</w:t>
      </w:r>
    </w:p>
    <w:p w14:paraId="5C7A3526" w14:textId="77777777" w:rsidR="00147F4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 xml:space="preserve">Suchý provoz bez oleje v čerpacím prostoru; konstrukce umožňující výměnu těsnicích segmentů (tip </w:t>
      </w:r>
      <w:proofErr w:type="spellStart"/>
      <w:r w:rsidRPr="004614F0">
        <w:rPr>
          <w:rFonts w:ascii="Tahoma" w:hAnsi="Tahoma" w:cs="Tahoma"/>
          <w:szCs w:val="20"/>
        </w:rPr>
        <w:t>seals</w:t>
      </w:r>
      <w:proofErr w:type="spellEnd"/>
      <w:r w:rsidRPr="004614F0">
        <w:rPr>
          <w:rFonts w:ascii="Tahoma" w:hAnsi="Tahoma" w:cs="Tahoma"/>
          <w:szCs w:val="20"/>
        </w:rPr>
        <w:t>).</w:t>
      </w:r>
    </w:p>
    <w:p w14:paraId="5755E272" w14:textId="77777777" w:rsidR="00147F40" w:rsidRPr="004614F0" w:rsidRDefault="00147F40" w:rsidP="00147F40">
      <w:pPr>
        <w:pStyle w:val="Odstavecseseznamem"/>
        <w:keepNext/>
        <w:numPr>
          <w:ilvl w:val="0"/>
          <w:numId w:val="38"/>
        </w:numPr>
        <w:spacing w:before="360" w:after="0" w:line="240" w:lineRule="auto"/>
        <w:ind w:left="567" w:hanging="567"/>
        <w:contextualSpacing w:val="0"/>
        <w:rPr>
          <w:rFonts w:ascii="Tahoma" w:hAnsi="Tahoma" w:cs="Tahoma"/>
          <w:b/>
          <w:bCs/>
          <w:szCs w:val="20"/>
        </w:rPr>
      </w:pPr>
      <w:r w:rsidRPr="004614F0">
        <w:rPr>
          <w:rFonts w:ascii="Tahoma" w:hAnsi="Tahoma" w:cs="Tahoma"/>
          <w:b/>
          <w:bCs/>
          <w:szCs w:val="20"/>
        </w:rPr>
        <w:t>Kombinovaný vakuový snímač (Pirani / studená katoda)</w:t>
      </w:r>
    </w:p>
    <w:p w14:paraId="14DD21FB" w14:textId="77777777" w:rsidR="00147F40" w:rsidRPr="004614F0" w:rsidRDefault="00147F40" w:rsidP="00147F40">
      <w:pPr>
        <w:keepNext/>
        <w:spacing w:before="120" w:line="240" w:lineRule="auto"/>
        <w:ind w:left="567"/>
        <w:rPr>
          <w:rFonts w:ascii="Tahoma" w:hAnsi="Tahoma" w:cs="Tahoma"/>
          <w:i/>
          <w:color w:val="FF0000"/>
          <w:szCs w:val="20"/>
          <w:u w:val="single"/>
        </w:rPr>
      </w:pPr>
      <w:r w:rsidRPr="004614F0">
        <w:rPr>
          <w:rFonts w:ascii="Tahoma" w:hAnsi="Tahoma" w:cs="Tahoma"/>
          <w:szCs w:val="20"/>
        </w:rPr>
        <w:t xml:space="preserve">Výrobce: </w:t>
      </w:r>
      <w:r w:rsidRPr="004614F0">
        <w:rPr>
          <w:rFonts w:ascii="Tahoma" w:hAnsi="Tahoma" w:cs="Tahoma"/>
          <w:szCs w:val="20"/>
        </w:rPr>
        <w:tab/>
      </w:r>
      <w:r w:rsidRPr="004614F0">
        <w:rPr>
          <w:rFonts w:ascii="Tahoma" w:hAnsi="Tahoma" w:cs="Tahoma"/>
          <w:szCs w:val="20"/>
        </w:rPr>
        <w:tab/>
      </w:r>
      <w:r w:rsidRPr="004614F0">
        <w:rPr>
          <w:rFonts w:ascii="Tahoma" w:hAnsi="Tahoma" w:cs="Tahoma"/>
          <w:szCs w:val="20"/>
        </w:rPr>
        <w:tab/>
      </w:r>
      <w:r w:rsidRPr="004614F0">
        <w:rPr>
          <w:rFonts w:ascii="Tahoma" w:hAnsi="Tahoma" w:cs="Tahoma"/>
          <w:i/>
          <w:color w:val="FF0000"/>
          <w:szCs w:val="20"/>
          <w:u w:val="single"/>
        </w:rPr>
        <w:t>uvede účastník</w:t>
      </w:r>
    </w:p>
    <w:p w14:paraId="026D699D" w14:textId="77777777" w:rsidR="00147F40" w:rsidRPr="004614F0" w:rsidRDefault="00147F40" w:rsidP="00147F40">
      <w:pPr>
        <w:keepNext/>
        <w:spacing w:before="120" w:line="240" w:lineRule="auto"/>
        <w:ind w:left="567"/>
        <w:rPr>
          <w:rFonts w:ascii="Tahoma" w:hAnsi="Tahoma" w:cs="Tahoma"/>
          <w:i/>
          <w:color w:val="FF0000"/>
          <w:szCs w:val="20"/>
          <w:u w:val="single"/>
        </w:rPr>
      </w:pPr>
      <w:r w:rsidRPr="004614F0">
        <w:rPr>
          <w:rFonts w:ascii="Tahoma" w:hAnsi="Tahoma" w:cs="Tahoma"/>
          <w:szCs w:val="20"/>
        </w:rPr>
        <w:t xml:space="preserve">Přesné typové označení: </w:t>
      </w:r>
      <w:r w:rsidRPr="004614F0">
        <w:rPr>
          <w:rFonts w:ascii="Tahoma" w:hAnsi="Tahoma" w:cs="Tahoma"/>
          <w:szCs w:val="20"/>
        </w:rPr>
        <w:tab/>
      </w:r>
      <w:r w:rsidRPr="004614F0">
        <w:rPr>
          <w:rFonts w:ascii="Tahoma" w:hAnsi="Tahoma" w:cs="Tahoma"/>
          <w:i/>
          <w:color w:val="FF0000"/>
          <w:szCs w:val="20"/>
          <w:u w:val="single"/>
        </w:rPr>
        <w:t>uvede účastník</w:t>
      </w:r>
    </w:p>
    <w:p w14:paraId="3A794DD4" w14:textId="77777777" w:rsidR="00147F40" w:rsidRPr="00793A0B" w:rsidRDefault="00147F40" w:rsidP="00147F40">
      <w:pPr>
        <w:keepNext/>
        <w:spacing w:before="120"/>
        <w:ind w:left="567"/>
        <w:jc w:val="both"/>
        <w:rPr>
          <w:rFonts w:ascii="Tahoma" w:hAnsi="Tahoma" w:cs="Tahoma"/>
          <w:bCs/>
          <w:szCs w:val="20"/>
        </w:rPr>
      </w:pPr>
      <w:r w:rsidRPr="004614F0">
        <w:rPr>
          <w:rFonts w:ascii="Tahoma" w:hAnsi="Tahoma" w:cs="Tahoma"/>
          <w:szCs w:val="20"/>
        </w:rPr>
        <w:t xml:space="preserve">Počet kusů: </w:t>
      </w:r>
      <w:r w:rsidRPr="004614F0">
        <w:rPr>
          <w:rFonts w:ascii="Tahoma" w:hAnsi="Tahoma" w:cs="Tahoma"/>
          <w:szCs w:val="20"/>
        </w:rPr>
        <w:tab/>
      </w:r>
      <w:r>
        <w:rPr>
          <w:rFonts w:ascii="Tahoma" w:hAnsi="Tahoma" w:cs="Tahoma"/>
          <w:bCs/>
          <w:szCs w:val="20"/>
        </w:rPr>
        <w:tab/>
        <w:t>2</w:t>
      </w:r>
      <w:r w:rsidRPr="00793A0B">
        <w:rPr>
          <w:rFonts w:ascii="Tahoma" w:hAnsi="Tahoma" w:cs="Tahoma"/>
          <w:bCs/>
          <w:szCs w:val="20"/>
        </w:rPr>
        <w:t xml:space="preserve"> ks </w:t>
      </w:r>
    </w:p>
    <w:p w14:paraId="5AAB94C9" w14:textId="77777777" w:rsidR="00147F40" w:rsidRPr="004614F0" w:rsidRDefault="00147F40" w:rsidP="00147F40">
      <w:pPr>
        <w:keepNext/>
        <w:spacing w:before="200" w:line="240" w:lineRule="auto"/>
        <w:ind w:left="567"/>
        <w:rPr>
          <w:rFonts w:ascii="Tahoma" w:hAnsi="Tahoma" w:cs="Tahoma"/>
          <w:szCs w:val="20"/>
          <w:u w:val="single"/>
        </w:rPr>
      </w:pPr>
      <w:r w:rsidRPr="004614F0">
        <w:rPr>
          <w:rFonts w:ascii="Tahoma" w:hAnsi="Tahoma" w:cs="Tahoma"/>
          <w:szCs w:val="20"/>
          <w:u w:val="single"/>
        </w:rPr>
        <w:t>Požadované parametry:</w:t>
      </w:r>
    </w:p>
    <w:p w14:paraId="0377BA8A"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Kombinovaný Pirani + studená katoda (</w:t>
      </w:r>
      <w:proofErr w:type="spellStart"/>
      <w:r w:rsidRPr="004614F0">
        <w:rPr>
          <w:rFonts w:ascii="Tahoma" w:hAnsi="Tahoma" w:cs="Tahoma"/>
          <w:szCs w:val="20"/>
        </w:rPr>
        <w:t>cold</w:t>
      </w:r>
      <w:proofErr w:type="spellEnd"/>
      <w:r w:rsidRPr="004614F0">
        <w:rPr>
          <w:rFonts w:ascii="Tahoma" w:hAnsi="Tahoma" w:cs="Tahoma"/>
          <w:szCs w:val="20"/>
        </w:rPr>
        <w:t xml:space="preserve"> </w:t>
      </w:r>
      <w:proofErr w:type="spellStart"/>
      <w:r w:rsidRPr="004614F0">
        <w:rPr>
          <w:rFonts w:ascii="Tahoma" w:hAnsi="Tahoma" w:cs="Tahoma"/>
          <w:szCs w:val="20"/>
        </w:rPr>
        <w:t>cathode</w:t>
      </w:r>
      <w:proofErr w:type="spellEnd"/>
      <w:r w:rsidRPr="004614F0">
        <w:rPr>
          <w:rFonts w:ascii="Tahoma" w:hAnsi="Tahoma" w:cs="Tahoma"/>
          <w:szCs w:val="20"/>
        </w:rPr>
        <w:t>) snímač celkového tlaku v jednom tělese pro měření v širokém rozsahu.</w:t>
      </w:r>
    </w:p>
    <w:p w14:paraId="233BF99B"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Měřicí rozsah minimálně od 1×10⁻⁸ mbar do 1000 mbar.</w:t>
      </w:r>
    </w:p>
    <w:p w14:paraId="4EE36EFF"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Nominální připojení k vakuovému systému: DN 25 ISO‑KF nebo ekvivalent.</w:t>
      </w:r>
    </w:p>
    <w:p w14:paraId="0626159D"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Aktivní snímač s digitálním komunikačním rozhraním (např. průmyslová sériová linka typu RS‑485 nebo ekvivalent)</w:t>
      </w:r>
      <w:r>
        <w:rPr>
          <w:rFonts w:ascii="Tahoma" w:hAnsi="Tahoma" w:cs="Tahoma"/>
          <w:szCs w:val="20"/>
        </w:rPr>
        <w:t xml:space="preserve"> a analogový napěťový výstup.</w:t>
      </w:r>
    </w:p>
    <w:p w14:paraId="7E17EDDD"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Provozní teplota okolí minimálně v rozsahu 5–50 °C.</w:t>
      </w:r>
    </w:p>
    <w:p w14:paraId="770D4293"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Krytí minimálně IP54 nebo ekvivalent pro laboratorní prostředí.</w:t>
      </w:r>
    </w:p>
    <w:p w14:paraId="52BFF504" w14:textId="77777777" w:rsidR="00147F40" w:rsidRPr="004614F0" w:rsidRDefault="00147F40" w:rsidP="00147F40">
      <w:pPr>
        <w:pStyle w:val="Odstavecseseznamem"/>
        <w:keepNext/>
        <w:numPr>
          <w:ilvl w:val="0"/>
          <w:numId w:val="38"/>
        </w:numPr>
        <w:spacing w:before="360" w:after="0" w:line="240" w:lineRule="auto"/>
        <w:ind w:left="567" w:hanging="567"/>
        <w:contextualSpacing w:val="0"/>
        <w:rPr>
          <w:rFonts w:ascii="Tahoma" w:hAnsi="Tahoma" w:cs="Tahoma"/>
          <w:b/>
          <w:bCs/>
          <w:szCs w:val="20"/>
        </w:rPr>
      </w:pPr>
      <w:r w:rsidRPr="004614F0">
        <w:rPr>
          <w:rFonts w:ascii="Tahoma" w:hAnsi="Tahoma" w:cs="Tahoma"/>
          <w:b/>
          <w:bCs/>
          <w:szCs w:val="20"/>
        </w:rPr>
        <w:t>Řídicí jednotka pro vakuové snímače</w:t>
      </w:r>
    </w:p>
    <w:p w14:paraId="29277EC9" w14:textId="77777777" w:rsidR="00147F40" w:rsidRPr="004614F0" w:rsidRDefault="00147F40" w:rsidP="00147F40">
      <w:pPr>
        <w:keepNext/>
        <w:spacing w:before="120" w:line="240" w:lineRule="auto"/>
        <w:ind w:left="567"/>
        <w:rPr>
          <w:rFonts w:ascii="Tahoma" w:hAnsi="Tahoma" w:cs="Tahoma"/>
          <w:i/>
          <w:color w:val="FF0000"/>
          <w:szCs w:val="20"/>
          <w:u w:val="single"/>
        </w:rPr>
      </w:pPr>
      <w:r w:rsidRPr="004614F0">
        <w:rPr>
          <w:rFonts w:ascii="Tahoma" w:hAnsi="Tahoma" w:cs="Tahoma"/>
          <w:szCs w:val="20"/>
        </w:rPr>
        <w:t xml:space="preserve">Výrobce: </w:t>
      </w:r>
      <w:r w:rsidRPr="004614F0">
        <w:rPr>
          <w:rFonts w:ascii="Tahoma" w:hAnsi="Tahoma" w:cs="Tahoma"/>
          <w:szCs w:val="20"/>
        </w:rPr>
        <w:tab/>
      </w:r>
      <w:r w:rsidRPr="004614F0">
        <w:rPr>
          <w:rFonts w:ascii="Tahoma" w:hAnsi="Tahoma" w:cs="Tahoma"/>
          <w:szCs w:val="20"/>
        </w:rPr>
        <w:tab/>
      </w:r>
      <w:r w:rsidRPr="004614F0">
        <w:rPr>
          <w:rFonts w:ascii="Tahoma" w:hAnsi="Tahoma" w:cs="Tahoma"/>
          <w:szCs w:val="20"/>
        </w:rPr>
        <w:tab/>
      </w:r>
      <w:r w:rsidRPr="004614F0">
        <w:rPr>
          <w:rFonts w:ascii="Tahoma" w:hAnsi="Tahoma" w:cs="Tahoma"/>
          <w:i/>
          <w:color w:val="FF0000"/>
          <w:szCs w:val="20"/>
          <w:u w:val="single"/>
        </w:rPr>
        <w:t>uvede účastník</w:t>
      </w:r>
    </w:p>
    <w:p w14:paraId="6B37A0CF" w14:textId="77777777" w:rsidR="00147F40" w:rsidRPr="004614F0" w:rsidRDefault="00147F40" w:rsidP="00147F40">
      <w:pPr>
        <w:keepNext/>
        <w:spacing w:before="120" w:line="240" w:lineRule="auto"/>
        <w:ind w:left="567"/>
        <w:rPr>
          <w:rFonts w:ascii="Tahoma" w:hAnsi="Tahoma" w:cs="Tahoma"/>
          <w:i/>
          <w:color w:val="FF0000"/>
          <w:szCs w:val="20"/>
          <w:u w:val="single"/>
        </w:rPr>
      </w:pPr>
      <w:r w:rsidRPr="004614F0">
        <w:rPr>
          <w:rFonts w:ascii="Tahoma" w:hAnsi="Tahoma" w:cs="Tahoma"/>
          <w:szCs w:val="20"/>
        </w:rPr>
        <w:t xml:space="preserve">Přesné typové označení: </w:t>
      </w:r>
      <w:r w:rsidRPr="004614F0">
        <w:rPr>
          <w:rFonts w:ascii="Tahoma" w:hAnsi="Tahoma" w:cs="Tahoma"/>
          <w:szCs w:val="20"/>
        </w:rPr>
        <w:tab/>
      </w:r>
      <w:r w:rsidRPr="004614F0">
        <w:rPr>
          <w:rFonts w:ascii="Tahoma" w:hAnsi="Tahoma" w:cs="Tahoma"/>
          <w:i/>
          <w:color w:val="FF0000"/>
          <w:szCs w:val="20"/>
          <w:u w:val="single"/>
        </w:rPr>
        <w:t>uvede účastník</w:t>
      </w:r>
    </w:p>
    <w:p w14:paraId="50212374" w14:textId="77777777" w:rsidR="00147F40" w:rsidRPr="00793A0B" w:rsidRDefault="00147F40" w:rsidP="00147F40">
      <w:pPr>
        <w:keepNext/>
        <w:spacing w:before="120"/>
        <w:ind w:left="567"/>
        <w:jc w:val="both"/>
        <w:rPr>
          <w:rFonts w:ascii="Tahoma" w:hAnsi="Tahoma" w:cs="Tahoma"/>
          <w:bCs/>
          <w:szCs w:val="20"/>
        </w:rPr>
      </w:pPr>
      <w:r w:rsidRPr="004614F0">
        <w:rPr>
          <w:rFonts w:ascii="Tahoma" w:hAnsi="Tahoma" w:cs="Tahoma"/>
          <w:szCs w:val="20"/>
        </w:rPr>
        <w:t xml:space="preserve">Počet kusů: </w:t>
      </w:r>
      <w:r w:rsidRPr="004614F0">
        <w:rPr>
          <w:rFonts w:ascii="Tahoma" w:hAnsi="Tahoma" w:cs="Tahoma"/>
          <w:szCs w:val="20"/>
        </w:rPr>
        <w:tab/>
      </w:r>
      <w:r>
        <w:rPr>
          <w:rFonts w:ascii="Tahoma" w:hAnsi="Tahoma" w:cs="Tahoma"/>
          <w:bCs/>
          <w:szCs w:val="20"/>
        </w:rPr>
        <w:tab/>
        <w:t>2</w:t>
      </w:r>
      <w:r w:rsidRPr="00793A0B">
        <w:rPr>
          <w:rFonts w:ascii="Tahoma" w:hAnsi="Tahoma" w:cs="Tahoma"/>
          <w:bCs/>
          <w:szCs w:val="20"/>
        </w:rPr>
        <w:t xml:space="preserve"> ks </w:t>
      </w:r>
    </w:p>
    <w:p w14:paraId="2259F588" w14:textId="77777777" w:rsidR="00147F40" w:rsidRPr="004614F0" w:rsidRDefault="00147F40" w:rsidP="00147F40">
      <w:pPr>
        <w:keepNext/>
        <w:spacing w:before="200" w:line="240" w:lineRule="auto"/>
        <w:ind w:left="567"/>
        <w:rPr>
          <w:rFonts w:ascii="Tahoma" w:hAnsi="Tahoma" w:cs="Tahoma"/>
          <w:szCs w:val="20"/>
          <w:u w:val="single"/>
        </w:rPr>
      </w:pPr>
      <w:r w:rsidRPr="004614F0">
        <w:rPr>
          <w:rFonts w:ascii="Tahoma" w:hAnsi="Tahoma" w:cs="Tahoma"/>
          <w:szCs w:val="20"/>
          <w:u w:val="single"/>
        </w:rPr>
        <w:t>Požadované parametry:</w:t>
      </w:r>
    </w:p>
    <w:p w14:paraId="702D1475"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Pr>
          <w:rFonts w:ascii="Tahoma" w:hAnsi="Tahoma" w:cs="Tahoma"/>
          <w:szCs w:val="20"/>
        </w:rPr>
        <w:t>Ř</w:t>
      </w:r>
      <w:r w:rsidRPr="004614F0">
        <w:rPr>
          <w:rFonts w:ascii="Tahoma" w:hAnsi="Tahoma" w:cs="Tahoma"/>
          <w:szCs w:val="20"/>
        </w:rPr>
        <w:t>ídicí jednotka pro vakuové snímače kombinovaného typu (Pirani / studená katoda) s digitálním komunikačním rozhraním (např. sériová linka typu RS‑485 nebo ekvivalent), určená pro přímé připojení těchto snímačů.</w:t>
      </w:r>
    </w:p>
    <w:p w14:paraId="0C76B33C"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Integrovaný displej zobrazující aktuální tlak na jednotlivých kanálech v mbar (případně volitelně Torr / Pa) v logaritmickém rozsahu odpovídajícím připojeným měrkám.</w:t>
      </w:r>
    </w:p>
    <w:p w14:paraId="40C6B979" w14:textId="77777777" w:rsidR="00147F40" w:rsidRPr="004614F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 xml:space="preserve">Možnost záznamu měřených hodnot tlaku do interní paměti a/nebo na vyměnitelný paměťový nosič (např. paměťová karta nebo USB </w:t>
      </w:r>
      <w:proofErr w:type="spellStart"/>
      <w:r w:rsidRPr="004614F0">
        <w:rPr>
          <w:rFonts w:ascii="Tahoma" w:hAnsi="Tahoma" w:cs="Tahoma"/>
          <w:szCs w:val="20"/>
        </w:rPr>
        <w:t>flash</w:t>
      </w:r>
      <w:proofErr w:type="spellEnd"/>
      <w:r w:rsidRPr="004614F0">
        <w:rPr>
          <w:rFonts w:ascii="Tahoma" w:hAnsi="Tahoma" w:cs="Tahoma"/>
          <w:szCs w:val="20"/>
        </w:rPr>
        <w:t xml:space="preserve"> disk) s možností následného exportu dat do PC.</w:t>
      </w:r>
    </w:p>
    <w:p w14:paraId="22C62509" w14:textId="77777777" w:rsidR="00147F40" w:rsidRDefault="00147F40" w:rsidP="00147F40">
      <w:pPr>
        <w:numPr>
          <w:ilvl w:val="0"/>
          <w:numId w:val="39"/>
        </w:numPr>
        <w:spacing w:before="100" w:after="0" w:line="240" w:lineRule="auto"/>
        <w:ind w:left="1066" w:hanging="357"/>
        <w:jc w:val="both"/>
        <w:rPr>
          <w:rFonts w:ascii="Tahoma" w:hAnsi="Tahoma" w:cs="Tahoma"/>
          <w:szCs w:val="20"/>
        </w:rPr>
      </w:pPr>
      <w:r w:rsidRPr="004614F0">
        <w:rPr>
          <w:rFonts w:ascii="Tahoma" w:hAnsi="Tahoma" w:cs="Tahoma"/>
          <w:szCs w:val="20"/>
        </w:rPr>
        <w:t>Napájení ze sítě 230 V AC, 50 Hz, integrovaný napájecí zdroj pro připojené snímače.</w:t>
      </w:r>
    </w:p>
    <w:p w14:paraId="26878816" w14:textId="77777777" w:rsidR="00147F40" w:rsidRPr="00353E89" w:rsidRDefault="00147F40" w:rsidP="00147F40">
      <w:pPr>
        <w:numPr>
          <w:ilvl w:val="0"/>
          <w:numId w:val="39"/>
        </w:numPr>
        <w:spacing w:before="100" w:after="0" w:line="240" w:lineRule="auto"/>
        <w:ind w:left="1066" w:hanging="357"/>
        <w:jc w:val="both"/>
        <w:rPr>
          <w:rFonts w:ascii="Tahoma" w:hAnsi="Tahoma" w:cs="Tahoma"/>
          <w:szCs w:val="20"/>
        </w:rPr>
      </w:pPr>
      <w:r>
        <w:rPr>
          <w:rFonts w:ascii="Tahoma" w:hAnsi="Tahoma" w:cs="Tahoma"/>
          <w:szCs w:val="20"/>
        </w:rPr>
        <w:t>Součástí propojovací kabeláž k vakuovým snímačům</w:t>
      </w:r>
    </w:p>
    <w:p w14:paraId="387C8836" w14:textId="77777777" w:rsidR="00147F40" w:rsidRPr="004614F0" w:rsidRDefault="00147F40" w:rsidP="00147F40">
      <w:pPr>
        <w:pStyle w:val="Odstavecseseznamem"/>
        <w:keepNext/>
        <w:numPr>
          <w:ilvl w:val="0"/>
          <w:numId w:val="38"/>
        </w:numPr>
        <w:spacing w:before="360" w:after="0" w:line="240" w:lineRule="auto"/>
        <w:ind w:left="567" w:hanging="567"/>
        <w:contextualSpacing w:val="0"/>
        <w:rPr>
          <w:rFonts w:ascii="Tahoma" w:hAnsi="Tahoma" w:cs="Tahoma"/>
          <w:b/>
          <w:bCs/>
          <w:color w:val="000000"/>
          <w:szCs w:val="20"/>
        </w:rPr>
      </w:pPr>
      <w:bookmarkStart w:id="37" w:name="_vrm4pbsmzcw" w:colFirst="0" w:colLast="0"/>
      <w:bookmarkEnd w:id="37"/>
      <w:r w:rsidRPr="00201E68">
        <w:rPr>
          <w:rFonts w:ascii="Tahoma" w:hAnsi="Tahoma" w:cs="Tahoma"/>
          <w:b/>
          <w:bCs/>
          <w:szCs w:val="20"/>
        </w:rPr>
        <w:lastRenderedPageBreak/>
        <w:t>Obecné</w:t>
      </w:r>
      <w:r w:rsidRPr="004614F0">
        <w:rPr>
          <w:rFonts w:ascii="Tahoma" w:hAnsi="Tahoma" w:cs="Tahoma"/>
          <w:b/>
          <w:bCs/>
          <w:color w:val="000000"/>
          <w:szCs w:val="20"/>
        </w:rPr>
        <w:t xml:space="preserve"> požadavky</w:t>
      </w:r>
    </w:p>
    <w:p w14:paraId="1C825FC1" w14:textId="77777777" w:rsidR="00147F40" w:rsidRPr="00201E68" w:rsidRDefault="00147F40" w:rsidP="00147F40">
      <w:pPr>
        <w:numPr>
          <w:ilvl w:val="0"/>
          <w:numId w:val="39"/>
        </w:numPr>
        <w:spacing w:before="100" w:after="0" w:line="240" w:lineRule="auto"/>
        <w:jc w:val="both"/>
        <w:rPr>
          <w:rFonts w:ascii="Tahoma" w:hAnsi="Tahoma" w:cs="Tahoma"/>
          <w:szCs w:val="20"/>
        </w:rPr>
      </w:pPr>
      <w:r w:rsidRPr="00201E68">
        <w:rPr>
          <w:rFonts w:ascii="Tahoma" w:hAnsi="Tahoma" w:cs="Tahoma"/>
          <w:szCs w:val="20"/>
        </w:rPr>
        <w:t>CE prohlášení o shodě pro relevantní zařízení.</w:t>
      </w:r>
    </w:p>
    <w:p w14:paraId="50A02450" w14:textId="77777777" w:rsidR="00147F40" w:rsidRPr="00201E68" w:rsidRDefault="00147F40" w:rsidP="00147F40">
      <w:pPr>
        <w:numPr>
          <w:ilvl w:val="0"/>
          <w:numId w:val="39"/>
        </w:numPr>
        <w:spacing w:before="100" w:after="0" w:line="240" w:lineRule="auto"/>
        <w:jc w:val="both"/>
        <w:rPr>
          <w:rFonts w:ascii="Tahoma" w:hAnsi="Tahoma" w:cs="Tahoma"/>
          <w:szCs w:val="20"/>
        </w:rPr>
      </w:pPr>
      <w:bookmarkStart w:id="38" w:name="_tkou4zwaxrqf" w:colFirst="0" w:colLast="0"/>
      <w:bookmarkEnd w:id="38"/>
      <w:r w:rsidRPr="00201E68">
        <w:rPr>
          <w:rFonts w:ascii="Tahoma" w:hAnsi="Tahoma" w:cs="Tahoma"/>
          <w:szCs w:val="20"/>
        </w:rPr>
        <w:t>Dokumentace v českém nebo anglickém jazyce.</w:t>
      </w:r>
    </w:p>
    <w:p w14:paraId="2A9DE98E" w14:textId="77777777" w:rsidR="00147F40" w:rsidRPr="004614F0" w:rsidRDefault="00147F40" w:rsidP="00147F40">
      <w:pPr>
        <w:spacing w:before="100" w:line="240" w:lineRule="auto"/>
        <w:rPr>
          <w:rFonts w:ascii="Tahoma" w:hAnsi="Tahoma" w:cs="Tahoma"/>
          <w:szCs w:val="20"/>
        </w:rPr>
      </w:pPr>
    </w:p>
    <w:p w14:paraId="461EB6E5" w14:textId="70952A5B" w:rsidR="00D26C06" w:rsidRPr="008A6498" w:rsidRDefault="00D26C06" w:rsidP="00147F40">
      <w:pPr>
        <w:keepLines/>
        <w:spacing w:before="120" w:line="240" w:lineRule="auto"/>
        <w:rPr>
          <w:rFonts w:ascii="Tahoma" w:hAnsi="Tahoma" w:cs="Tahoma"/>
          <w:szCs w:val="20"/>
        </w:rPr>
      </w:pPr>
    </w:p>
    <w:sectPr w:rsidR="00D26C06" w:rsidRPr="008A6498" w:rsidSect="00147F5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98E1" w14:textId="77777777" w:rsidR="006E0F4D" w:rsidRDefault="006E0F4D">
      <w:pPr>
        <w:spacing w:after="0" w:line="240" w:lineRule="auto"/>
        <w:rPr>
          <w:rFonts w:cs="Times New Roman"/>
        </w:rPr>
      </w:pPr>
      <w:r>
        <w:rPr>
          <w:rFonts w:cs="Times New Roman"/>
        </w:rPr>
        <w:separator/>
      </w:r>
    </w:p>
  </w:endnote>
  <w:endnote w:type="continuationSeparator" w:id="0">
    <w:p w14:paraId="36821200" w14:textId="77777777" w:rsidR="006E0F4D" w:rsidRDefault="006E0F4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FA7D" w14:textId="77777777" w:rsidR="006E0F4D" w:rsidRDefault="006E0F4D">
      <w:pPr>
        <w:spacing w:after="0" w:line="240" w:lineRule="auto"/>
        <w:rPr>
          <w:rFonts w:cs="Times New Roman"/>
        </w:rPr>
      </w:pPr>
      <w:bookmarkStart w:id="0" w:name="_Hlk126085224"/>
      <w:bookmarkEnd w:id="0"/>
      <w:r>
        <w:rPr>
          <w:rFonts w:cs="Times New Roman"/>
        </w:rPr>
        <w:separator/>
      </w:r>
    </w:p>
  </w:footnote>
  <w:footnote w:type="continuationSeparator" w:id="0">
    <w:p w14:paraId="116AC130" w14:textId="77777777" w:rsidR="006E0F4D" w:rsidRDefault="006E0F4D">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08B3BC9"/>
    <w:multiLevelType w:val="multilevel"/>
    <w:tmpl w:val="588AFFE8"/>
    <w:lvl w:ilvl="0">
      <w:start w:val="1"/>
      <w:numFmt w:val="bullet"/>
      <w:lvlText w:val=""/>
      <w:lvlJc w:val="left"/>
      <w:pPr>
        <w:ind w:left="1068" w:hanging="360"/>
      </w:pPr>
      <w:rPr>
        <w:rFonts w:ascii="Symbol" w:hAnsi="Symbol" w:hint="default"/>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7E47FF"/>
    <w:multiLevelType w:val="hybridMultilevel"/>
    <w:tmpl w:val="556EC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1"/>
  </w:num>
  <w:num w:numId="4" w16cid:durableId="1966425842">
    <w:abstractNumId w:val="11"/>
  </w:num>
  <w:num w:numId="5" w16cid:durableId="719597438">
    <w:abstractNumId w:val="14"/>
  </w:num>
  <w:num w:numId="6" w16cid:durableId="1661620578">
    <w:abstractNumId w:val="4"/>
  </w:num>
  <w:num w:numId="7" w16cid:durableId="935676161">
    <w:abstractNumId w:val="7"/>
  </w:num>
  <w:num w:numId="8" w16cid:durableId="1933395192">
    <w:abstractNumId w:val="19"/>
  </w:num>
  <w:num w:numId="9" w16cid:durableId="40519044">
    <w:abstractNumId w:val="33"/>
  </w:num>
  <w:num w:numId="10" w16cid:durableId="2026708677">
    <w:abstractNumId w:val="6"/>
  </w:num>
  <w:num w:numId="11" w16cid:durableId="707414005">
    <w:abstractNumId w:val="12"/>
  </w:num>
  <w:num w:numId="12" w16cid:durableId="1275594672">
    <w:abstractNumId w:val="9"/>
  </w:num>
  <w:num w:numId="13" w16cid:durableId="1395856140">
    <w:abstractNumId w:val="23"/>
  </w:num>
  <w:num w:numId="14" w16cid:durableId="578178323">
    <w:abstractNumId w:val="35"/>
  </w:num>
  <w:num w:numId="15" w16cid:durableId="275913702">
    <w:abstractNumId w:val="36"/>
  </w:num>
  <w:num w:numId="16" w16cid:durableId="874738593">
    <w:abstractNumId w:val="37"/>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7"/>
  </w:num>
  <w:num w:numId="23" w16cid:durableId="1546406519">
    <w:abstractNumId w:val="24"/>
  </w:num>
  <w:num w:numId="24" w16cid:durableId="135685412">
    <w:abstractNumId w:val="5"/>
  </w:num>
  <w:num w:numId="25" w16cid:durableId="1714959480">
    <w:abstractNumId w:val="21"/>
  </w:num>
  <w:num w:numId="26" w16cid:durableId="700055741">
    <w:abstractNumId w:val="28"/>
  </w:num>
  <w:num w:numId="27" w16cid:durableId="224951049">
    <w:abstractNumId w:val="32"/>
  </w:num>
  <w:num w:numId="28" w16cid:durableId="1228296538">
    <w:abstractNumId w:val="34"/>
  </w:num>
  <w:num w:numId="29" w16cid:durableId="877820627">
    <w:abstractNumId w:val="10"/>
  </w:num>
  <w:num w:numId="30" w16cid:durableId="1059943535">
    <w:abstractNumId w:val="8"/>
  </w:num>
  <w:num w:numId="31" w16cid:durableId="308019683">
    <w:abstractNumId w:val="25"/>
  </w:num>
  <w:num w:numId="32" w16cid:durableId="510222176">
    <w:abstractNumId w:val="38"/>
  </w:num>
  <w:num w:numId="33" w16cid:durableId="1945839014">
    <w:abstractNumId w:val="29"/>
  </w:num>
  <w:num w:numId="34" w16cid:durableId="419448755">
    <w:abstractNumId w:val="15"/>
  </w:num>
  <w:num w:numId="35" w16cid:durableId="765807426">
    <w:abstractNumId w:val="22"/>
  </w:num>
  <w:num w:numId="36" w16cid:durableId="148981902">
    <w:abstractNumId w:val="20"/>
  </w:num>
  <w:num w:numId="37" w16cid:durableId="409811340">
    <w:abstractNumId w:val="30"/>
  </w:num>
  <w:num w:numId="38" w16cid:durableId="169108261">
    <w:abstractNumId w:val="26"/>
  </w:num>
  <w:num w:numId="39" w16cid:durableId="101804416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9686F"/>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47F40"/>
    <w:rsid w:val="00147F53"/>
    <w:rsid w:val="00151F24"/>
    <w:rsid w:val="00161867"/>
    <w:rsid w:val="001629DD"/>
    <w:rsid w:val="00163EA7"/>
    <w:rsid w:val="00165EA4"/>
    <w:rsid w:val="00166676"/>
    <w:rsid w:val="001667D0"/>
    <w:rsid w:val="00192FB0"/>
    <w:rsid w:val="00194FC2"/>
    <w:rsid w:val="00194FF3"/>
    <w:rsid w:val="001976B6"/>
    <w:rsid w:val="00197958"/>
    <w:rsid w:val="001A2073"/>
    <w:rsid w:val="001A361E"/>
    <w:rsid w:val="001A79C6"/>
    <w:rsid w:val="001B4166"/>
    <w:rsid w:val="001B69C9"/>
    <w:rsid w:val="001B6E9C"/>
    <w:rsid w:val="001C4994"/>
    <w:rsid w:val="001D0FB4"/>
    <w:rsid w:val="001E2DC1"/>
    <w:rsid w:val="001E501F"/>
    <w:rsid w:val="001F3688"/>
    <w:rsid w:val="001F40A3"/>
    <w:rsid w:val="001F41BC"/>
    <w:rsid w:val="00206098"/>
    <w:rsid w:val="00206952"/>
    <w:rsid w:val="002203EF"/>
    <w:rsid w:val="00226CC3"/>
    <w:rsid w:val="0022795D"/>
    <w:rsid w:val="0023445A"/>
    <w:rsid w:val="00243E8A"/>
    <w:rsid w:val="00250A2D"/>
    <w:rsid w:val="00255859"/>
    <w:rsid w:val="00255BB3"/>
    <w:rsid w:val="00266618"/>
    <w:rsid w:val="00270B6C"/>
    <w:rsid w:val="002723BD"/>
    <w:rsid w:val="00272909"/>
    <w:rsid w:val="002748AB"/>
    <w:rsid w:val="00277358"/>
    <w:rsid w:val="0029117F"/>
    <w:rsid w:val="002913FA"/>
    <w:rsid w:val="00293A13"/>
    <w:rsid w:val="00296680"/>
    <w:rsid w:val="002B6277"/>
    <w:rsid w:val="002B6F81"/>
    <w:rsid w:val="002C59EF"/>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0294"/>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36736"/>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442B"/>
    <w:rsid w:val="006C753D"/>
    <w:rsid w:val="006D1310"/>
    <w:rsid w:val="006D286B"/>
    <w:rsid w:val="006D444D"/>
    <w:rsid w:val="006D72CD"/>
    <w:rsid w:val="006E0F4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C6FB6"/>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797"/>
    <w:rsid w:val="00886D1D"/>
    <w:rsid w:val="0089033B"/>
    <w:rsid w:val="008A063A"/>
    <w:rsid w:val="008A0650"/>
    <w:rsid w:val="008A0FC2"/>
    <w:rsid w:val="008A67DE"/>
    <w:rsid w:val="008A71C1"/>
    <w:rsid w:val="008A7E4F"/>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535B"/>
    <w:rsid w:val="00B32822"/>
    <w:rsid w:val="00B371F7"/>
    <w:rsid w:val="00B45A83"/>
    <w:rsid w:val="00B478EF"/>
    <w:rsid w:val="00B63C54"/>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3ED"/>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1EAD"/>
    <w:rsid w:val="00D52E8B"/>
    <w:rsid w:val="00D5332E"/>
    <w:rsid w:val="00D54DB5"/>
    <w:rsid w:val="00D62591"/>
    <w:rsid w:val="00D65130"/>
    <w:rsid w:val="00D75C4E"/>
    <w:rsid w:val="00D777CD"/>
    <w:rsid w:val="00D80714"/>
    <w:rsid w:val="00D80E65"/>
    <w:rsid w:val="00D824EC"/>
    <w:rsid w:val="00D8253C"/>
    <w:rsid w:val="00DA0681"/>
    <w:rsid w:val="00DA202D"/>
    <w:rsid w:val="00DA3571"/>
    <w:rsid w:val="00DB3230"/>
    <w:rsid w:val="00DB3D2D"/>
    <w:rsid w:val="00DC0C4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32F3"/>
    <w:rsid w:val="00E94037"/>
    <w:rsid w:val="00EA0E77"/>
    <w:rsid w:val="00EA62E7"/>
    <w:rsid w:val="00EB1100"/>
    <w:rsid w:val="00EB607E"/>
    <w:rsid w:val="00EC2117"/>
    <w:rsid w:val="00EC47CF"/>
    <w:rsid w:val="00ED2BE2"/>
    <w:rsid w:val="00EE24CB"/>
    <w:rsid w:val="00EE7649"/>
    <w:rsid w:val="00EF153A"/>
    <w:rsid w:val="00EF21CA"/>
    <w:rsid w:val="00F00A0D"/>
    <w:rsid w:val="00F04961"/>
    <w:rsid w:val="00F206EC"/>
    <w:rsid w:val="00F27ABB"/>
    <w:rsid w:val="00F30CD0"/>
    <w:rsid w:val="00F379B8"/>
    <w:rsid w:val="00F37ED7"/>
    <w:rsid w:val="00F40229"/>
    <w:rsid w:val="00F41BD3"/>
    <w:rsid w:val="00F4541A"/>
    <w:rsid w:val="00F465D0"/>
    <w:rsid w:val="00F5095C"/>
    <w:rsid w:val="00F511C2"/>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C7A79"/>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5317</Words>
  <Characters>30948</Characters>
  <Application>Microsoft Office Word</Application>
  <DocSecurity>0</DocSecurity>
  <Lines>533</Lines>
  <Paragraphs>233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5</cp:revision>
  <cp:lastPrinted>2023-05-24T12:33:00Z</cp:lastPrinted>
  <dcterms:created xsi:type="dcterms:W3CDTF">2026-04-07T15:23:00Z</dcterms:created>
  <dcterms:modified xsi:type="dcterms:W3CDTF">2026-04-14T14:01:00Z</dcterms:modified>
</cp:coreProperties>
</file>