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17D1" w14:textId="1C2B7791" w:rsidR="00D507E5" w:rsidRPr="0034382E" w:rsidRDefault="004244A9" w:rsidP="004244A9">
      <w:pPr>
        <w:jc w:val="right"/>
        <w:rPr>
          <w:rFonts w:eastAsiaTheme="majorEastAsia" w:cstheme="minorHAnsi"/>
          <w:bCs/>
          <w:i/>
        </w:rPr>
      </w:pPr>
      <w:r w:rsidRPr="0034382E">
        <w:rPr>
          <w:rFonts w:eastAsiaTheme="majorEastAsia" w:cstheme="minorHAnsi"/>
          <w:bCs/>
          <w:i/>
        </w:rPr>
        <w:t xml:space="preserve">Příloha č. </w:t>
      </w:r>
      <w:r w:rsidR="00181F45">
        <w:rPr>
          <w:rFonts w:eastAsiaTheme="majorEastAsia" w:cstheme="minorHAnsi"/>
          <w:bCs/>
          <w:i/>
        </w:rPr>
        <w:t>1</w:t>
      </w:r>
    </w:p>
    <w:p w14:paraId="43798903" w14:textId="77777777" w:rsidR="005257AA" w:rsidRPr="0034382E" w:rsidRDefault="005257AA" w:rsidP="00EE3C5F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cstheme="minorHAnsi"/>
        </w:rPr>
      </w:pPr>
      <w:bookmarkStart w:id="0" w:name="_Hlk61251892"/>
      <w:r w:rsidRPr="0034382E">
        <w:rPr>
          <w:rFonts w:cstheme="minorHAnsi"/>
          <w:b/>
          <w:bCs/>
        </w:rPr>
        <w:t>V</w:t>
      </w:r>
      <w:r w:rsidRPr="0034382E">
        <w:rPr>
          <w:rFonts w:cstheme="minorHAnsi"/>
          <w:b/>
          <w:bCs/>
          <w:spacing w:val="1"/>
        </w:rPr>
        <w:t>y</w:t>
      </w:r>
      <w:r w:rsidRPr="0034382E">
        <w:rPr>
          <w:rFonts w:cstheme="minorHAnsi"/>
          <w:b/>
          <w:bCs/>
        </w:rPr>
        <w:t>mezení</w:t>
      </w:r>
      <w:r w:rsidRPr="0034382E">
        <w:rPr>
          <w:rFonts w:cstheme="minorHAnsi"/>
          <w:b/>
          <w:bCs/>
          <w:spacing w:val="-16"/>
        </w:rPr>
        <w:t xml:space="preserve"> </w:t>
      </w:r>
      <w:r w:rsidRPr="0034382E">
        <w:rPr>
          <w:rFonts w:cstheme="minorHAnsi"/>
          <w:b/>
          <w:bCs/>
        </w:rPr>
        <w:t>p</w:t>
      </w:r>
      <w:r w:rsidRPr="0034382E">
        <w:rPr>
          <w:rFonts w:cstheme="minorHAnsi"/>
          <w:b/>
          <w:bCs/>
          <w:spacing w:val="1"/>
        </w:rPr>
        <w:t>ř</w:t>
      </w:r>
      <w:r w:rsidRPr="0034382E">
        <w:rPr>
          <w:rFonts w:cstheme="minorHAnsi"/>
          <w:b/>
          <w:bCs/>
        </w:rPr>
        <w:t>e</w:t>
      </w:r>
      <w:r w:rsidRPr="0034382E">
        <w:rPr>
          <w:rFonts w:cstheme="minorHAnsi"/>
          <w:b/>
          <w:bCs/>
          <w:spacing w:val="3"/>
        </w:rPr>
        <w:t>d</w:t>
      </w:r>
      <w:r w:rsidRPr="0034382E">
        <w:rPr>
          <w:rFonts w:cstheme="minorHAnsi"/>
          <w:b/>
          <w:bCs/>
        </w:rPr>
        <w:t>mětu</w:t>
      </w:r>
      <w:r w:rsidRPr="0034382E">
        <w:rPr>
          <w:rFonts w:cstheme="minorHAnsi"/>
          <w:b/>
          <w:bCs/>
          <w:spacing w:val="-16"/>
        </w:rPr>
        <w:t xml:space="preserve"> </w:t>
      </w:r>
      <w:r w:rsidRPr="0034382E">
        <w:rPr>
          <w:rFonts w:cstheme="minorHAnsi"/>
          <w:b/>
          <w:bCs/>
        </w:rPr>
        <w:t>veř</w:t>
      </w:r>
      <w:r w:rsidRPr="0034382E">
        <w:rPr>
          <w:rFonts w:cstheme="minorHAnsi"/>
          <w:b/>
          <w:bCs/>
          <w:spacing w:val="2"/>
        </w:rPr>
        <w:t>e</w:t>
      </w:r>
      <w:r w:rsidRPr="0034382E">
        <w:rPr>
          <w:rFonts w:cstheme="minorHAnsi"/>
          <w:b/>
          <w:bCs/>
        </w:rPr>
        <w:t>j</w:t>
      </w:r>
      <w:r w:rsidRPr="0034382E">
        <w:rPr>
          <w:rFonts w:cstheme="minorHAnsi"/>
          <w:b/>
          <w:bCs/>
          <w:spacing w:val="-1"/>
        </w:rPr>
        <w:t>n</w:t>
      </w:r>
      <w:r w:rsidRPr="0034382E">
        <w:rPr>
          <w:rFonts w:cstheme="minorHAnsi"/>
          <w:b/>
          <w:bCs/>
        </w:rPr>
        <w:t>é</w:t>
      </w:r>
      <w:r w:rsidRPr="0034382E">
        <w:rPr>
          <w:rFonts w:cstheme="minorHAnsi"/>
          <w:b/>
          <w:bCs/>
          <w:spacing w:val="-10"/>
        </w:rPr>
        <w:t xml:space="preserve"> </w:t>
      </w:r>
      <w:r w:rsidRPr="0034382E">
        <w:rPr>
          <w:rFonts w:cstheme="minorHAnsi"/>
          <w:b/>
          <w:bCs/>
          <w:spacing w:val="2"/>
        </w:rPr>
        <w:t>z</w:t>
      </w:r>
      <w:r w:rsidRPr="0034382E">
        <w:rPr>
          <w:rFonts w:cstheme="minorHAnsi"/>
          <w:b/>
          <w:bCs/>
        </w:rPr>
        <w:t>ak</w:t>
      </w:r>
      <w:r w:rsidRPr="0034382E">
        <w:rPr>
          <w:rFonts w:cstheme="minorHAnsi"/>
          <w:b/>
          <w:bCs/>
          <w:spacing w:val="1"/>
        </w:rPr>
        <w:t>á</w:t>
      </w:r>
      <w:r w:rsidRPr="0034382E">
        <w:rPr>
          <w:rFonts w:cstheme="minorHAnsi"/>
          <w:b/>
          <w:bCs/>
        </w:rPr>
        <w:t>zky</w:t>
      </w:r>
      <w:r w:rsidRPr="0034382E">
        <w:rPr>
          <w:rFonts w:cstheme="minorHAnsi"/>
          <w:b/>
          <w:bCs/>
          <w:spacing w:val="-13"/>
        </w:rPr>
        <w:t xml:space="preserve"> </w:t>
      </w:r>
      <w:r w:rsidRPr="0034382E">
        <w:rPr>
          <w:rFonts w:cstheme="minorHAnsi"/>
          <w:b/>
          <w:bCs/>
        </w:rPr>
        <w:t>a</w:t>
      </w:r>
      <w:r w:rsidRPr="0034382E">
        <w:rPr>
          <w:rFonts w:cstheme="minorHAnsi"/>
          <w:b/>
          <w:bCs/>
          <w:spacing w:val="-1"/>
        </w:rPr>
        <w:t xml:space="preserve"> </w:t>
      </w:r>
      <w:r w:rsidRPr="0034382E">
        <w:rPr>
          <w:rFonts w:cstheme="minorHAnsi"/>
          <w:b/>
          <w:bCs/>
        </w:rPr>
        <w:t>tec</w:t>
      </w:r>
      <w:r w:rsidRPr="0034382E">
        <w:rPr>
          <w:rFonts w:cstheme="minorHAnsi"/>
          <w:b/>
          <w:bCs/>
          <w:spacing w:val="1"/>
        </w:rPr>
        <w:t>h</w:t>
      </w:r>
      <w:r w:rsidRPr="0034382E">
        <w:rPr>
          <w:rFonts w:cstheme="minorHAnsi"/>
          <w:b/>
          <w:bCs/>
          <w:spacing w:val="2"/>
        </w:rPr>
        <w:t>n</w:t>
      </w:r>
      <w:r w:rsidRPr="0034382E">
        <w:rPr>
          <w:rFonts w:cstheme="minorHAnsi"/>
          <w:b/>
          <w:bCs/>
        </w:rPr>
        <w:t>ic</w:t>
      </w:r>
      <w:r w:rsidRPr="0034382E">
        <w:rPr>
          <w:rFonts w:cstheme="minorHAnsi"/>
          <w:b/>
          <w:bCs/>
          <w:spacing w:val="-1"/>
        </w:rPr>
        <w:t>k</w:t>
      </w:r>
      <w:r w:rsidRPr="0034382E">
        <w:rPr>
          <w:rFonts w:cstheme="minorHAnsi"/>
          <w:b/>
          <w:bCs/>
        </w:rPr>
        <w:t xml:space="preserve">é </w:t>
      </w:r>
      <w:r w:rsidR="004244A9" w:rsidRPr="0034382E">
        <w:rPr>
          <w:rFonts w:cstheme="minorHAnsi"/>
          <w:b/>
          <w:bCs/>
        </w:rPr>
        <w:t>p</w:t>
      </w:r>
      <w:r w:rsidRPr="0034382E">
        <w:rPr>
          <w:rFonts w:cstheme="minorHAnsi"/>
          <w:b/>
          <w:bCs/>
        </w:rPr>
        <w:t>o</w:t>
      </w:r>
      <w:r w:rsidRPr="0034382E">
        <w:rPr>
          <w:rFonts w:cstheme="minorHAnsi"/>
          <w:b/>
          <w:bCs/>
          <w:spacing w:val="1"/>
        </w:rPr>
        <w:t>d</w:t>
      </w:r>
      <w:r w:rsidRPr="0034382E">
        <w:rPr>
          <w:rFonts w:cstheme="minorHAnsi"/>
          <w:b/>
          <w:bCs/>
        </w:rPr>
        <w:t>mínky</w:t>
      </w:r>
      <w:bookmarkEnd w:id="0"/>
    </w:p>
    <w:p w14:paraId="288A1AFF" w14:textId="77777777" w:rsidR="006525E5" w:rsidRPr="0034382E" w:rsidRDefault="00EE3C5F" w:rsidP="00EE3C5F">
      <w:pPr>
        <w:pStyle w:val="Nadpis1"/>
        <w:jc w:val="both"/>
        <w:rPr>
          <w:rFonts w:asciiTheme="minorHAnsi" w:hAnsiTheme="minorHAnsi" w:cstheme="minorHAnsi"/>
          <w:sz w:val="22"/>
          <w:szCs w:val="22"/>
        </w:rPr>
      </w:pPr>
      <w:r w:rsidRPr="0034382E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34382E">
        <w:rPr>
          <w:rFonts w:asciiTheme="minorHAnsi" w:hAnsiTheme="minorHAnsi" w:cstheme="minorHAnsi"/>
          <w:sz w:val="22"/>
          <w:szCs w:val="22"/>
        </w:rPr>
        <w:t>ř</w:t>
      </w:r>
      <w:r w:rsidRPr="0034382E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4382E">
        <w:rPr>
          <w:rFonts w:asciiTheme="minorHAnsi" w:hAnsiTheme="minorHAnsi" w:cstheme="minorHAnsi"/>
          <w:sz w:val="22"/>
          <w:szCs w:val="22"/>
        </w:rPr>
        <w:t>d</w:t>
      </w:r>
      <w:r w:rsidRPr="0034382E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4382E">
        <w:rPr>
          <w:rFonts w:asciiTheme="minorHAnsi" w:hAnsiTheme="minorHAnsi" w:cstheme="minorHAnsi"/>
          <w:spacing w:val="-1"/>
          <w:sz w:val="22"/>
          <w:szCs w:val="22"/>
        </w:rPr>
        <w:t>ě</w:t>
      </w:r>
      <w:r w:rsidRPr="0034382E">
        <w:rPr>
          <w:rFonts w:asciiTheme="minorHAnsi" w:hAnsiTheme="minorHAnsi" w:cstheme="minorHAnsi"/>
          <w:sz w:val="22"/>
          <w:szCs w:val="22"/>
        </w:rPr>
        <w:t>t</w:t>
      </w:r>
      <w:r w:rsidRPr="0034382E">
        <w:rPr>
          <w:rFonts w:asciiTheme="minorHAnsi" w:hAnsiTheme="minorHAnsi" w:cstheme="minorHAnsi"/>
          <w:spacing w:val="-9"/>
          <w:sz w:val="22"/>
          <w:szCs w:val="22"/>
        </w:rPr>
        <w:t xml:space="preserve"> poskytovaných</w:t>
      </w:r>
      <w:r w:rsidR="006525E5" w:rsidRPr="0034382E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6525E5" w:rsidRPr="0034382E">
        <w:rPr>
          <w:rFonts w:asciiTheme="minorHAnsi" w:hAnsiTheme="minorHAnsi" w:cstheme="minorHAnsi"/>
          <w:sz w:val="22"/>
          <w:szCs w:val="22"/>
        </w:rPr>
        <w:t>služ</w:t>
      </w:r>
      <w:r w:rsidR="006525E5" w:rsidRPr="0034382E">
        <w:rPr>
          <w:rFonts w:asciiTheme="minorHAnsi" w:hAnsiTheme="minorHAnsi" w:cstheme="minorHAnsi"/>
          <w:spacing w:val="2"/>
          <w:sz w:val="22"/>
          <w:szCs w:val="22"/>
        </w:rPr>
        <w:t>e</w:t>
      </w:r>
      <w:r w:rsidR="006525E5" w:rsidRPr="0034382E">
        <w:rPr>
          <w:rFonts w:asciiTheme="minorHAnsi" w:hAnsiTheme="minorHAnsi" w:cstheme="minorHAnsi"/>
          <w:sz w:val="22"/>
          <w:szCs w:val="22"/>
        </w:rPr>
        <w:t>b</w:t>
      </w:r>
    </w:p>
    <w:p w14:paraId="553A797C" w14:textId="48721212" w:rsidR="00C62DE5" w:rsidRPr="0034382E" w:rsidRDefault="006525E5" w:rsidP="00EE3C5F">
      <w:pPr>
        <w:jc w:val="both"/>
        <w:rPr>
          <w:rFonts w:cstheme="minorHAnsi"/>
        </w:rPr>
      </w:pPr>
      <w:r w:rsidRPr="0034382E">
        <w:rPr>
          <w:rFonts w:cstheme="minorHAnsi"/>
        </w:rPr>
        <w:t>Př</w:t>
      </w:r>
      <w:r w:rsidRPr="0034382E">
        <w:rPr>
          <w:rFonts w:cstheme="minorHAnsi"/>
          <w:spacing w:val="1"/>
        </w:rPr>
        <w:t>e</w:t>
      </w:r>
      <w:r w:rsidRPr="0034382E">
        <w:rPr>
          <w:rFonts w:cstheme="minorHAnsi"/>
        </w:rPr>
        <w:t>d</w:t>
      </w:r>
      <w:r w:rsidRPr="0034382E">
        <w:rPr>
          <w:rFonts w:cstheme="minorHAnsi"/>
          <w:spacing w:val="1"/>
        </w:rPr>
        <w:t>mě</w:t>
      </w:r>
      <w:r w:rsidRPr="0034382E">
        <w:rPr>
          <w:rFonts w:cstheme="minorHAnsi"/>
        </w:rPr>
        <w:t>t</w:t>
      </w:r>
      <w:r w:rsidRPr="0034382E">
        <w:rPr>
          <w:rFonts w:cstheme="minorHAnsi"/>
          <w:spacing w:val="1"/>
        </w:rPr>
        <w:t>e</w:t>
      </w:r>
      <w:r w:rsidRPr="0034382E">
        <w:rPr>
          <w:rFonts w:cstheme="minorHAnsi"/>
        </w:rPr>
        <w:t>m plnění</w:t>
      </w:r>
      <w:r w:rsidRPr="0034382E">
        <w:rPr>
          <w:rFonts w:cstheme="minorHAnsi"/>
          <w:spacing w:val="40"/>
        </w:rPr>
        <w:t xml:space="preserve"> </w:t>
      </w:r>
      <w:r w:rsidRPr="0034382E">
        <w:rPr>
          <w:rFonts w:cstheme="minorHAnsi"/>
          <w:spacing w:val="-1"/>
        </w:rPr>
        <w:t>v</w:t>
      </w:r>
      <w:r w:rsidRPr="0034382E">
        <w:rPr>
          <w:rFonts w:cstheme="minorHAnsi"/>
          <w:spacing w:val="1"/>
        </w:rPr>
        <w:t>e</w:t>
      </w:r>
      <w:r w:rsidRPr="0034382E">
        <w:rPr>
          <w:rFonts w:cstheme="minorHAnsi"/>
        </w:rPr>
        <w:t>ř</w:t>
      </w:r>
      <w:r w:rsidRPr="0034382E">
        <w:rPr>
          <w:rFonts w:cstheme="minorHAnsi"/>
          <w:spacing w:val="3"/>
        </w:rPr>
        <w:t>e</w:t>
      </w:r>
      <w:r w:rsidRPr="0034382E">
        <w:rPr>
          <w:rFonts w:cstheme="minorHAnsi"/>
          <w:spacing w:val="-1"/>
        </w:rPr>
        <w:t>j</w:t>
      </w:r>
      <w:r w:rsidRPr="0034382E">
        <w:rPr>
          <w:rFonts w:cstheme="minorHAnsi"/>
          <w:spacing w:val="1"/>
        </w:rPr>
        <w:t>n</w:t>
      </w:r>
      <w:r w:rsidRPr="0034382E">
        <w:rPr>
          <w:rFonts w:cstheme="minorHAnsi"/>
        </w:rPr>
        <w:t>é z</w:t>
      </w:r>
      <w:r w:rsidRPr="0034382E">
        <w:rPr>
          <w:rFonts w:cstheme="minorHAnsi"/>
          <w:spacing w:val="1"/>
        </w:rPr>
        <w:t>a</w:t>
      </w:r>
      <w:r w:rsidRPr="0034382E">
        <w:rPr>
          <w:rFonts w:cstheme="minorHAnsi"/>
          <w:spacing w:val="-1"/>
        </w:rPr>
        <w:t>k</w:t>
      </w:r>
      <w:r w:rsidRPr="0034382E">
        <w:rPr>
          <w:rFonts w:cstheme="minorHAnsi"/>
          <w:spacing w:val="1"/>
        </w:rPr>
        <w:t>á</w:t>
      </w:r>
      <w:r w:rsidRPr="0034382E">
        <w:rPr>
          <w:rFonts w:cstheme="minorHAnsi"/>
        </w:rPr>
        <w:t xml:space="preserve">zky </w:t>
      </w:r>
      <w:r w:rsidRPr="0034382E">
        <w:rPr>
          <w:rFonts w:cstheme="minorHAnsi"/>
          <w:spacing w:val="-1"/>
        </w:rPr>
        <w:t>j</w:t>
      </w:r>
      <w:r w:rsidRPr="0034382E">
        <w:rPr>
          <w:rFonts w:cstheme="minorHAnsi"/>
        </w:rPr>
        <w:t>e po</w:t>
      </w:r>
      <w:r w:rsidRPr="0034382E">
        <w:rPr>
          <w:rFonts w:cstheme="minorHAnsi"/>
          <w:spacing w:val="2"/>
        </w:rPr>
        <w:t>s</w:t>
      </w:r>
      <w:r w:rsidRPr="0034382E">
        <w:rPr>
          <w:rFonts w:cstheme="minorHAnsi"/>
          <w:spacing w:val="-1"/>
        </w:rPr>
        <w:t>ky</w:t>
      </w:r>
      <w:r w:rsidRPr="0034382E">
        <w:rPr>
          <w:rFonts w:cstheme="minorHAnsi"/>
        </w:rPr>
        <w:t>t</w:t>
      </w:r>
      <w:r w:rsidRPr="0034382E">
        <w:rPr>
          <w:rFonts w:cstheme="minorHAnsi"/>
          <w:spacing w:val="2"/>
        </w:rPr>
        <w:t>o</w:t>
      </w:r>
      <w:r w:rsidRPr="0034382E">
        <w:rPr>
          <w:rFonts w:cstheme="minorHAnsi"/>
          <w:spacing w:val="-1"/>
        </w:rPr>
        <w:t>v</w:t>
      </w:r>
      <w:r w:rsidRPr="0034382E">
        <w:rPr>
          <w:rFonts w:cstheme="minorHAnsi"/>
          <w:spacing w:val="1"/>
        </w:rPr>
        <w:t>á</w:t>
      </w:r>
      <w:r w:rsidRPr="0034382E">
        <w:rPr>
          <w:rFonts w:cstheme="minorHAnsi"/>
          <w:spacing w:val="-1"/>
        </w:rPr>
        <w:t>n</w:t>
      </w:r>
      <w:r w:rsidRPr="0034382E">
        <w:rPr>
          <w:rFonts w:cstheme="minorHAnsi"/>
        </w:rPr>
        <w:t xml:space="preserve">í </w:t>
      </w:r>
      <w:r w:rsidR="00C62DE5" w:rsidRPr="0034382E">
        <w:rPr>
          <w:rFonts w:cstheme="minorHAnsi"/>
        </w:rPr>
        <w:t xml:space="preserve">hlasových služeb pro PBX zadavatele v </w:t>
      </w:r>
      <w:r w:rsidR="00C62DE5" w:rsidRPr="0034382E">
        <w:rPr>
          <w:rFonts w:cstheme="minorHAnsi"/>
          <w:spacing w:val="3"/>
        </w:rPr>
        <w:t>m</w:t>
      </w:r>
      <w:r w:rsidR="00C62DE5" w:rsidRPr="0034382E">
        <w:rPr>
          <w:rFonts w:cstheme="minorHAnsi"/>
        </w:rPr>
        <w:t>ístě</w:t>
      </w:r>
      <w:r w:rsidR="00C62DE5" w:rsidRPr="0034382E">
        <w:rPr>
          <w:rFonts w:cstheme="minorHAnsi"/>
          <w:spacing w:val="44"/>
        </w:rPr>
        <w:t xml:space="preserve"> </w:t>
      </w:r>
      <w:r w:rsidR="00C62DE5" w:rsidRPr="0034382E">
        <w:rPr>
          <w:rFonts w:cstheme="minorHAnsi"/>
        </w:rPr>
        <w:t>„</w:t>
      </w:r>
      <w:r w:rsidR="00C62DE5" w:rsidRPr="0034382E">
        <w:rPr>
          <w:rFonts w:cstheme="minorHAnsi"/>
          <w:spacing w:val="2"/>
        </w:rPr>
        <w:t>k</w:t>
      </w:r>
      <w:r w:rsidR="00C62DE5" w:rsidRPr="0034382E">
        <w:rPr>
          <w:rFonts w:cstheme="minorHAnsi"/>
        </w:rPr>
        <w:t>o</w:t>
      </w:r>
      <w:r w:rsidR="00C62DE5" w:rsidRPr="0034382E">
        <w:rPr>
          <w:rFonts w:cstheme="minorHAnsi"/>
          <w:spacing w:val="-1"/>
        </w:rPr>
        <w:t>nc</w:t>
      </w:r>
      <w:r w:rsidR="00C62DE5" w:rsidRPr="0034382E">
        <w:rPr>
          <w:rFonts w:cstheme="minorHAnsi"/>
          <w:spacing w:val="2"/>
        </w:rPr>
        <w:t>o</w:t>
      </w:r>
      <w:r w:rsidR="00C62DE5" w:rsidRPr="0034382E">
        <w:rPr>
          <w:rFonts w:cstheme="minorHAnsi"/>
          <w:spacing w:val="-1"/>
        </w:rPr>
        <w:t xml:space="preserve">vého </w:t>
      </w:r>
      <w:r w:rsidR="00C62DE5" w:rsidRPr="0034382E">
        <w:rPr>
          <w:rFonts w:cstheme="minorHAnsi"/>
          <w:spacing w:val="2"/>
        </w:rPr>
        <w:t>b</w:t>
      </w:r>
      <w:r w:rsidR="00C62DE5" w:rsidRPr="0034382E">
        <w:rPr>
          <w:rFonts w:cstheme="minorHAnsi"/>
        </w:rPr>
        <w:t>odu</w:t>
      </w:r>
      <w:r w:rsidR="00C62DE5" w:rsidRPr="0034382E">
        <w:rPr>
          <w:rFonts w:cstheme="minorHAnsi"/>
          <w:spacing w:val="45"/>
        </w:rPr>
        <w:t xml:space="preserve"> </w:t>
      </w:r>
      <w:r w:rsidR="00C62DE5" w:rsidRPr="0034382E">
        <w:rPr>
          <w:rFonts w:cstheme="minorHAnsi"/>
        </w:rPr>
        <w:t>sít</w:t>
      </w:r>
      <w:r w:rsidR="00C62DE5" w:rsidRPr="0034382E">
        <w:rPr>
          <w:rFonts w:cstheme="minorHAnsi"/>
          <w:spacing w:val="1"/>
        </w:rPr>
        <w:t>ě</w:t>
      </w:r>
      <w:r w:rsidR="00C62DE5" w:rsidRPr="0034382E">
        <w:rPr>
          <w:rFonts w:cstheme="minorHAnsi"/>
          <w:spacing w:val="-1"/>
        </w:rPr>
        <w:t>“</w:t>
      </w:r>
      <w:r w:rsidR="00C62DE5" w:rsidRPr="0034382E">
        <w:rPr>
          <w:rFonts w:cstheme="minorHAnsi"/>
        </w:rPr>
        <w:t>,</w:t>
      </w:r>
      <w:r w:rsidR="00C62DE5" w:rsidRPr="0034382E">
        <w:rPr>
          <w:rFonts w:cstheme="minorHAnsi"/>
          <w:spacing w:val="43"/>
        </w:rPr>
        <w:t xml:space="preserve"> </w:t>
      </w:r>
      <w:r w:rsidR="00C62DE5" w:rsidRPr="0034382E">
        <w:rPr>
          <w:rFonts w:cstheme="minorHAnsi"/>
        </w:rPr>
        <w:t>t</w:t>
      </w:r>
      <w:r w:rsidR="00C62DE5" w:rsidRPr="0034382E">
        <w:rPr>
          <w:rFonts w:cstheme="minorHAnsi"/>
          <w:spacing w:val="1"/>
        </w:rPr>
        <w:t>j</w:t>
      </w:r>
      <w:r w:rsidR="00C62DE5" w:rsidRPr="0034382E">
        <w:rPr>
          <w:rFonts w:cstheme="minorHAnsi"/>
        </w:rPr>
        <w:t>.</w:t>
      </w:r>
      <w:r w:rsidR="00C62DE5" w:rsidRPr="0034382E">
        <w:rPr>
          <w:rFonts w:cstheme="minorHAnsi"/>
          <w:spacing w:val="46"/>
        </w:rPr>
        <w:t xml:space="preserve"> </w:t>
      </w:r>
      <w:r w:rsidR="00C62DE5" w:rsidRPr="0034382E">
        <w:rPr>
          <w:rFonts w:cstheme="minorHAnsi"/>
        </w:rPr>
        <w:t>v</w:t>
      </w:r>
      <w:r w:rsidR="00C62DE5" w:rsidRPr="0034382E">
        <w:rPr>
          <w:rFonts w:cstheme="minorHAnsi"/>
          <w:spacing w:val="5"/>
        </w:rPr>
        <w:t xml:space="preserve"> </w:t>
      </w:r>
      <w:r w:rsidR="00C62DE5" w:rsidRPr="0034382E">
        <w:rPr>
          <w:rFonts w:cstheme="minorHAnsi"/>
        </w:rPr>
        <w:t>pobo</w:t>
      </w:r>
      <w:r w:rsidR="00C62DE5" w:rsidRPr="0034382E">
        <w:rPr>
          <w:rFonts w:cstheme="minorHAnsi"/>
          <w:spacing w:val="2"/>
        </w:rPr>
        <w:t>č</w:t>
      </w:r>
      <w:r w:rsidR="00C62DE5" w:rsidRPr="0034382E">
        <w:rPr>
          <w:rFonts w:cstheme="minorHAnsi"/>
          <w:spacing w:val="-1"/>
        </w:rPr>
        <w:t>k</w:t>
      </w:r>
      <w:r w:rsidR="00C62DE5" w:rsidRPr="0034382E">
        <w:rPr>
          <w:rFonts w:cstheme="minorHAnsi"/>
        </w:rPr>
        <w:t>o</w:t>
      </w:r>
      <w:r w:rsidR="00C62DE5" w:rsidRPr="0034382E">
        <w:rPr>
          <w:rFonts w:cstheme="minorHAnsi"/>
          <w:spacing w:val="-1"/>
        </w:rPr>
        <w:t>v</w:t>
      </w:r>
      <w:r w:rsidR="00C62DE5" w:rsidRPr="0034382E">
        <w:rPr>
          <w:rFonts w:cstheme="minorHAnsi"/>
        </w:rPr>
        <w:t>é</w:t>
      </w:r>
      <w:r w:rsidR="00C62DE5" w:rsidRPr="0034382E">
        <w:rPr>
          <w:rFonts w:cstheme="minorHAnsi"/>
          <w:spacing w:val="41"/>
        </w:rPr>
        <w:t xml:space="preserve"> </w:t>
      </w:r>
      <w:r w:rsidR="00C62DE5" w:rsidRPr="0034382E">
        <w:rPr>
          <w:rFonts w:cstheme="minorHAnsi"/>
          <w:spacing w:val="-1"/>
        </w:rPr>
        <w:t>ú</w:t>
      </w:r>
      <w:r w:rsidR="00C62DE5" w:rsidRPr="0034382E">
        <w:rPr>
          <w:rFonts w:cstheme="minorHAnsi"/>
        </w:rPr>
        <w:t>stř</w:t>
      </w:r>
      <w:r w:rsidR="00C62DE5" w:rsidRPr="0034382E">
        <w:rPr>
          <w:rFonts w:cstheme="minorHAnsi"/>
          <w:spacing w:val="1"/>
        </w:rPr>
        <w:t>e</w:t>
      </w:r>
      <w:r w:rsidR="00C62DE5" w:rsidRPr="0034382E">
        <w:rPr>
          <w:rFonts w:cstheme="minorHAnsi"/>
        </w:rPr>
        <w:t xml:space="preserve">dně v místnosti A023 na adrese </w:t>
      </w:r>
      <w:r w:rsidR="00936B2C" w:rsidRPr="0034382E">
        <w:rPr>
          <w:rFonts w:cstheme="minorHAnsi"/>
        </w:rPr>
        <w:t>17. listopadu</w:t>
      </w:r>
      <w:r w:rsidR="00C62DE5" w:rsidRPr="0034382E">
        <w:rPr>
          <w:rFonts w:cstheme="minorHAnsi"/>
        </w:rPr>
        <w:t xml:space="preserve"> 2172</w:t>
      </w:r>
      <w:r w:rsidR="00D66D33" w:rsidRPr="0034382E">
        <w:rPr>
          <w:rFonts w:cstheme="minorHAnsi"/>
        </w:rPr>
        <w:t>/15</w:t>
      </w:r>
      <w:r w:rsidR="00C62DE5" w:rsidRPr="0034382E">
        <w:rPr>
          <w:rFonts w:cstheme="minorHAnsi"/>
        </w:rPr>
        <w:t xml:space="preserve"> v</w:t>
      </w:r>
      <w:r w:rsidR="00E46433" w:rsidRPr="0034382E">
        <w:rPr>
          <w:rFonts w:cstheme="minorHAnsi"/>
        </w:rPr>
        <w:t> </w:t>
      </w:r>
      <w:r w:rsidR="00C62DE5" w:rsidRPr="0034382E">
        <w:rPr>
          <w:rFonts w:cstheme="minorHAnsi"/>
        </w:rPr>
        <w:t>Ostravě</w:t>
      </w:r>
      <w:r w:rsidR="00E46433" w:rsidRPr="0034382E">
        <w:rPr>
          <w:rFonts w:cstheme="minorHAnsi"/>
        </w:rPr>
        <w:t>-</w:t>
      </w:r>
      <w:r w:rsidR="00C62DE5" w:rsidRPr="0034382E">
        <w:rPr>
          <w:rFonts w:cstheme="minorHAnsi"/>
        </w:rPr>
        <w:t xml:space="preserve">Porubě a mobilních telekomunikačních služeb prostřednictvím sítě mobilního operátora pro zadavatele, přičemž předpokládaný objem </w:t>
      </w:r>
      <w:r w:rsidR="00E0529E" w:rsidRPr="0034382E">
        <w:rPr>
          <w:rFonts w:cstheme="minorHAnsi"/>
        </w:rPr>
        <w:t xml:space="preserve">plnění </w:t>
      </w:r>
      <w:r w:rsidR="00C62DE5" w:rsidRPr="0034382E">
        <w:rPr>
          <w:rFonts w:cstheme="minorHAnsi"/>
        </w:rPr>
        <w:t>vychází ze současného stavu</w:t>
      </w:r>
      <w:r w:rsidR="00E0529E" w:rsidRPr="0034382E">
        <w:rPr>
          <w:rFonts w:cstheme="minorHAnsi"/>
        </w:rPr>
        <w:t xml:space="preserve"> využívání telekomunikačních služeb ze strany </w:t>
      </w:r>
      <w:r w:rsidR="00EA755B" w:rsidRPr="0034382E">
        <w:rPr>
          <w:rFonts w:cstheme="minorHAnsi"/>
        </w:rPr>
        <w:t>zadavatele. Poskytováním</w:t>
      </w:r>
      <w:r w:rsidR="00C62DE5" w:rsidRPr="0034382E">
        <w:rPr>
          <w:rFonts w:cstheme="minorHAnsi"/>
        </w:rPr>
        <w:t xml:space="preserve"> mobilních telekomunikačních služeb se rozumí zejména služby prostřednictvím </w:t>
      </w:r>
      <w:r w:rsidR="0002213A">
        <w:rPr>
          <w:rFonts w:cstheme="minorHAnsi"/>
        </w:rPr>
        <w:t xml:space="preserve">buňkových sítí </w:t>
      </w:r>
      <w:r w:rsidR="00C62DE5" w:rsidRPr="0034382E">
        <w:rPr>
          <w:rFonts w:cstheme="minorHAnsi"/>
        </w:rPr>
        <w:t>GSM</w:t>
      </w:r>
      <w:r w:rsidR="00D66D33" w:rsidRPr="0034382E">
        <w:rPr>
          <w:rFonts w:cstheme="minorHAnsi"/>
        </w:rPr>
        <w:t>/LTE</w:t>
      </w:r>
      <w:r w:rsidR="00E0529E" w:rsidRPr="0034382E">
        <w:rPr>
          <w:rFonts w:cstheme="minorHAnsi"/>
        </w:rPr>
        <w:t>/</w:t>
      </w:r>
      <w:r w:rsidR="0002213A">
        <w:rPr>
          <w:rFonts w:cstheme="minorHAnsi"/>
        </w:rPr>
        <w:t>NR</w:t>
      </w:r>
      <w:r w:rsidR="00C62DE5" w:rsidRPr="0034382E">
        <w:rPr>
          <w:rFonts w:cstheme="minorHAnsi"/>
        </w:rPr>
        <w:t xml:space="preserve"> mobilního operátora v dále uvedeném rozsahu:</w:t>
      </w:r>
    </w:p>
    <w:p w14:paraId="3F536383" w14:textId="77777777" w:rsidR="00C62DE5" w:rsidRPr="0034382E" w:rsidRDefault="00C62DE5" w:rsidP="00EE3C5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4382E">
        <w:rPr>
          <w:rFonts w:cstheme="minorHAnsi"/>
        </w:rPr>
        <w:t>zajištění mobilních hlasových služeb,</w:t>
      </w:r>
    </w:p>
    <w:p w14:paraId="7D1D6DC8" w14:textId="77777777" w:rsidR="00C62DE5" w:rsidRPr="0034382E" w:rsidRDefault="00C62DE5" w:rsidP="00EE3C5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4382E">
        <w:rPr>
          <w:rFonts w:cstheme="minorHAnsi"/>
        </w:rPr>
        <w:t>zajištění mobilních datových služeb,</w:t>
      </w:r>
    </w:p>
    <w:p w14:paraId="6D097FA6" w14:textId="77777777" w:rsidR="00C62DE5" w:rsidRPr="0034382E" w:rsidRDefault="00C62DE5" w:rsidP="00EE3C5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4382E">
        <w:rPr>
          <w:rFonts w:cstheme="minorHAnsi"/>
        </w:rPr>
        <w:t>maximální dostupnost a spolehlivost služby, garance dostupnosti služby,</w:t>
      </w:r>
    </w:p>
    <w:p w14:paraId="2072F606" w14:textId="77777777" w:rsidR="00C62DE5" w:rsidRPr="0034382E" w:rsidRDefault="00C62DE5" w:rsidP="00EE3C5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4382E">
        <w:rPr>
          <w:rFonts w:cstheme="minorHAnsi"/>
        </w:rPr>
        <w:t>zajištění potřebného rozsahu telefonních čísel,</w:t>
      </w:r>
    </w:p>
    <w:p w14:paraId="7554FB40" w14:textId="77777777" w:rsidR="00C62DE5" w:rsidRPr="0034382E" w:rsidRDefault="00C62DE5" w:rsidP="00EE3C5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4382E">
        <w:rPr>
          <w:rFonts w:cstheme="minorHAnsi"/>
        </w:rPr>
        <w:t>zabezpečení zákaznické podpory,</w:t>
      </w:r>
    </w:p>
    <w:p w14:paraId="5837B37F" w14:textId="77777777" w:rsidR="00C62DE5" w:rsidRPr="0034382E" w:rsidRDefault="00C62DE5" w:rsidP="00EE3C5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4382E">
        <w:rPr>
          <w:rFonts w:cstheme="minorHAnsi"/>
        </w:rPr>
        <w:t>převod stávajících telefonních čísel.</w:t>
      </w:r>
    </w:p>
    <w:p w14:paraId="6BEDE2AE" w14:textId="579AA35B" w:rsidR="00983E19" w:rsidRPr="0034382E" w:rsidRDefault="00983E19" w:rsidP="00EE3C5F">
      <w:pPr>
        <w:pStyle w:val="Nadpis1"/>
        <w:jc w:val="both"/>
        <w:rPr>
          <w:rFonts w:asciiTheme="minorHAnsi" w:hAnsiTheme="minorHAnsi" w:cstheme="minorHAnsi"/>
          <w:sz w:val="22"/>
          <w:szCs w:val="22"/>
        </w:rPr>
      </w:pPr>
      <w:r w:rsidRPr="0034382E">
        <w:rPr>
          <w:rFonts w:asciiTheme="minorHAnsi" w:hAnsiTheme="minorHAnsi" w:cstheme="minorHAnsi"/>
          <w:sz w:val="22"/>
          <w:szCs w:val="22"/>
        </w:rPr>
        <w:t xml:space="preserve">Požadavky na </w:t>
      </w:r>
      <w:r w:rsidR="00052C84" w:rsidRPr="0034382E">
        <w:rPr>
          <w:rFonts w:asciiTheme="minorHAnsi" w:hAnsiTheme="minorHAnsi" w:cstheme="minorHAnsi"/>
          <w:sz w:val="22"/>
          <w:szCs w:val="22"/>
        </w:rPr>
        <w:t xml:space="preserve">nabídku a na </w:t>
      </w:r>
      <w:r w:rsidR="00861A44" w:rsidRPr="0034382E">
        <w:rPr>
          <w:rFonts w:asciiTheme="minorHAnsi" w:hAnsiTheme="minorHAnsi" w:cstheme="minorHAnsi"/>
          <w:sz w:val="22"/>
          <w:szCs w:val="22"/>
        </w:rPr>
        <w:t>plnění</w:t>
      </w:r>
    </w:p>
    <w:p w14:paraId="201E1B5C" w14:textId="77777777" w:rsidR="00C62DE5" w:rsidRPr="0034382E" w:rsidRDefault="00C62DE5" w:rsidP="00EE3C5F">
      <w:pPr>
        <w:widowControl w:val="0"/>
        <w:autoSpaceDE w:val="0"/>
        <w:autoSpaceDN w:val="0"/>
        <w:adjustRightInd w:val="0"/>
        <w:spacing w:after="0" w:line="240" w:lineRule="auto"/>
        <w:ind w:left="116" w:right="83"/>
        <w:jc w:val="both"/>
        <w:rPr>
          <w:rFonts w:cstheme="minorHAnsi"/>
        </w:rPr>
      </w:pPr>
    </w:p>
    <w:p w14:paraId="3E0C4C7F" w14:textId="6C36BCD4" w:rsidR="006525E5" w:rsidRPr="0034382E" w:rsidRDefault="006525E5" w:rsidP="00EE3C5F">
      <w:pPr>
        <w:jc w:val="both"/>
        <w:rPr>
          <w:rFonts w:cstheme="minorHAnsi"/>
        </w:rPr>
      </w:pPr>
      <w:r w:rsidRPr="0034382E">
        <w:rPr>
          <w:rFonts w:cstheme="minorHAnsi"/>
        </w:rPr>
        <w:t>V pří</w:t>
      </w:r>
      <w:r w:rsidRPr="0034382E">
        <w:rPr>
          <w:rFonts w:cstheme="minorHAnsi"/>
          <w:spacing w:val="1"/>
        </w:rPr>
        <w:t>pa</w:t>
      </w:r>
      <w:r w:rsidRPr="0034382E">
        <w:rPr>
          <w:rFonts w:cstheme="minorHAnsi"/>
        </w:rPr>
        <w:t>dě</w:t>
      </w:r>
      <w:r w:rsidRPr="0034382E">
        <w:rPr>
          <w:rFonts w:cstheme="minorHAnsi"/>
          <w:spacing w:val="-4"/>
        </w:rPr>
        <w:t xml:space="preserve"> </w:t>
      </w:r>
      <w:r w:rsidRPr="0034382E">
        <w:rPr>
          <w:rFonts w:cstheme="minorHAnsi"/>
          <w:spacing w:val="-1"/>
        </w:rPr>
        <w:t>nu</w:t>
      </w:r>
      <w:r w:rsidRPr="0034382E">
        <w:rPr>
          <w:rFonts w:cstheme="minorHAnsi"/>
          <w:spacing w:val="3"/>
        </w:rPr>
        <w:t>t</w:t>
      </w:r>
      <w:r w:rsidRPr="0034382E">
        <w:rPr>
          <w:rFonts w:cstheme="minorHAnsi"/>
          <w:spacing w:val="-1"/>
        </w:rPr>
        <w:t>n</w:t>
      </w:r>
      <w:r w:rsidRPr="0034382E">
        <w:rPr>
          <w:rFonts w:cstheme="minorHAnsi"/>
        </w:rPr>
        <w:t>osti</w:t>
      </w:r>
      <w:r w:rsidRPr="0034382E">
        <w:rPr>
          <w:rFonts w:cstheme="minorHAnsi"/>
          <w:spacing w:val="-7"/>
        </w:rPr>
        <w:t xml:space="preserve"> </w:t>
      </w:r>
      <w:r w:rsidR="00D66D33" w:rsidRPr="0034382E">
        <w:rPr>
          <w:rFonts w:cstheme="minorHAnsi"/>
          <w:spacing w:val="-7"/>
        </w:rPr>
        <w:t xml:space="preserve">vybudovat nové či modifikovat stávající </w:t>
      </w:r>
      <w:r w:rsidRPr="0034382E">
        <w:rPr>
          <w:rFonts w:cstheme="minorHAnsi"/>
        </w:rPr>
        <w:t>při</w:t>
      </w:r>
      <w:r w:rsidRPr="0034382E">
        <w:rPr>
          <w:rFonts w:cstheme="minorHAnsi"/>
          <w:spacing w:val="1"/>
        </w:rPr>
        <w:t>p</w:t>
      </w:r>
      <w:r w:rsidRPr="0034382E">
        <w:rPr>
          <w:rFonts w:cstheme="minorHAnsi"/>
        </w:rPr>
        <w:t>o</w:t>
      </w:r>
      <w:r w:rsidRPr="0034382E">
        <w:rPr>
          <w:rFonts w:cstheme="minorHAnsi"/>
          <w:spacing w:val="-1"/>
        </w:rPr>
        <w:t>j</w:t>
      </w:r>
      <w:r w:rsidRPr="0034382E">
        <w:rPr>
          <w:rFonts w:cstheme="minorHAnsi"/>
          <w:spacing w:val="3"/>
        </w:rPr>
        <w:t>e</w:t>
      </w:r>
      <w:r w:rsidRPr="0034382E">
        <w:rPr>
          <w:rFonts w:cstheme="minorHAnsi"/>
          <w:spacing w:val="-1"/>
        </w:rPr>
        <w:t>n</w:t>
      </w:r>
      <w:r w:rsidRPr="0034382E">
        <w:rPr>
          <w:rFonts w:cstheme="minorHAnsi"/>
        </w:rPr>
        <w:t>í</w:t>
      </w:r>
      <w:r w:rsidRPr="0034382E">
        <w:rPr>
          <w:rFonts w:cstheme="minorHAnsi"/>
          <w:spacing w:val="-1"/>
        </w:rPr>
        <w:t xml:space="preserve"> </w:t>
      </w:r>
      <w:r w:rsidRPr="0034382E">
        <w:rPr>
          <w:rFonts w:cstheme="minorHAnsi"/>
          <w:spacing w:val="1"/>
        </w:rPr>
        <w:t>k</w:t>
      </w:r>
      <w:r w:rsidRPr="0034382E">
        <w:rPr>
          <w:rFonts w:cstheme="minorHAnsi"/>
        </w:rPr>
        <w:t>e</w:t>
      </w:r>
      <w:r w:rsidRPr="0034382E">
        <w:rPr>
          <w:rFonts w:cstheme="minorHAnsi"/>
          <w:spacing w:val="1"/>
        </w:rPr>
        <w:t xml:space="preserve"> </w:t>
      </w:r>
      <w:r w:rsidRPr="0034382E">
        <w:rPr>
          <w:rFonts w:cstheme="minorHAnsi"/>
          <w:spacing w:val="-1"/>
        </w:rPr>
        <w:t>k</w:t>
      </w:r>
      <w:r w:rsidRPr="0034382E">
        <w:rPr>
          <w:rFonts w:cstheme="minorHAnsi"/>
          <w:spacing w:val="2"/>
        </w:rPr>
        <w:t>o</w:t>
      </w:r>
      <w:r w:rsidRPr="0034382E">
        <w:rPr>
          <w:rFonts w:cstheme="minorHAnsi"/>
          <w:spacing w:val="-1"/>
        </w:rPr>
        <w:t>nc</w:t>
      </w:r>
      <w:r w:rsidRPr="0034382E">
        <w:rPr>
          <w:rFonts w:cstheme="minorHAnsi"/>
          <w:spacing w:val="2"/>
        </w:rPr>
        <w:t>o</w:t>
      </w:r>
      <w:r w:rsidRPr="0034382E">
        <w:rPr>
          <w:rFonts w:cstheme="minorHAnsi"/>
          <w:spacing w:val="-1"/>
        </w:rPr>
        <w:t xml:space="preserve">vému </w:t>
      </w:r>
      <w:r w:rsidRPr="0034382E">
        <w:rPr>
          <w:rFonts w:cstheme="minorHAnsi"/>
        </w:rPr>
        <w:t>bo</w:t>
      </w:r>
      <w:r w:rsidRPr="0034382E">
        <w:rPr>
          <w:rFonts w:cstheme="minorHAnsi"/>
          <w:spacing w:val="3"/>
        </w:rPr>
        <w:t>du</w:t>
      </w:r>
      <w:r w:rsidRPr="0034382E">
        <w:rPr>
          <w:rFonts w:cstheme="minorHAnsi"/>
          <w:spacing w:val="-6"/>
        </w:rPr>
        <w:t xml:space="preserve"> </w:t>
      </w:r>
      <w:r w:rsidRPr="0034382E">
        <w:rPr>
          <w:rFonts w:cstheme="minorHAnsi"/>
        </w:rPr>
        <w:t>sítě</w:t>
      </w:r>
      <w:r w:rsidRPr="0034382E">
        <w:rPr>
          <w:rFonts w:cstheme="minorHAnsi"/>
          <w:spacing w:val="-3"/>
        </w:rPr>
        <w:t xml:space="preserve"> pobočkových ústředen VŠB-TUO </w:t>
      </w:r>
      <w:r w:rsidR="00983E19" w:rsidRPr="0034382E">
        <w:rPr>
          <w:rFonts w:cstheme="minorHAnsi"/>
          <w:spacing w:val="-3"/>
        </w:rPr>
        <w:t>v místě plnění na adrese 17. listopadu 2172</w:t>
      </w:r>
      <w:r w:rsidR="00D66D33" w:rsidRPr="0034382E">
        <w:rPr>
          <w:rFonts w:cstheme="minorHAnsi"/>
          <w:spacing w:val="-3"/>
        </w:rPr>
        <w:t>/15</w:t>
      </w:r>
      <w:r w:rsidR="00983E19" w:rsidRPr="0034382E">
        <w:rPr>
          <w:rFonts w:cstheme="minorHAnsi"/>
          <w:spacing w:val="-3"/>
        </w:rPr>
        <w:t xml:space="preserve"> v</w:t>
      </w:r>
      <w:r w:rsidR="003960EA" w:rsidRPr="0034382E">
        <w:rPr>
          <w:rFonts w:cstheme="minorHAnsi"/>
          <w:spacing w:val="-3"/>
        </w:rPr>
        <w:t> </w:t>
      </w:r>
      <w:r w:rsidR="00983E19" w:rsidRPr="0034382E">
        <w:rPr>
          <w:rFonts w:cstheme="minorHAnsi"/>
          <w:spacing w:val="-3"/>
        </w:rPr>
        <w:t>Ostravě</w:t>
      </w:r>
      <w:r w:rsidR="003960EA" w:rsidRPr="0034382E">
        <w:rPr>
          <w:rFonts w:cstheme="minorHAnsi"/>
          <w:spacing w:val="-3"/>
        </w:rPr>
        <w:t>-</w:t>
      </w:r>
      <w:r w:rsidR="00983E19" w:rsidRPr="0034382E">
        <w:rPr>
          <w:rFonts w:cstheme="minorHAnsi"/>
          <w:spacing w:val="-3"/>
        </w:rPr>
        <w:t xml:space="preserve">Porubě </w:t>
      </w:r>
      <w:r w:rsidRPr="0034382E">
        <w:rPr>
          <w:rFonts w:cstheme="minorHAnsi"/>
          <w:spacing w:val="-1"/>
        </w:rPr>
        <w:t>n</w:t>
      </w:r>
      <w:r w:rsidRPr="0034382E">
        <w:rPr>
          <w:rFonts w:cstheme="minorHAnsi"/>
          <w:spacing w:val="1"/>
        </w:rPr>
        <w:t>e</w:t>
      </w:r>
      <w:r w:rsidRPr="0034382E">
        <w:rPr>
          <w:rFonts w:cstheme="minorHAnsi"/>
        </w:rPr>
        <w:t>se</w:t>
      </w:r>
      <w:r w:rsidRPr="0034382E">
        <w:rPr>
          <w:rFonts w:cstheme="minorHAnsi"/>
          <w:spacing w:val="-1"/>
        </w:rPr>
        <w:t xml:space="preserve"> v</w:t>
      </w:r>
      <w:r w:rsidRPr="0034382E">
        <w:rPr>
          <w:rFonts w:cstheme="minorHAnsi"/>
          <w:spacing w:val="4"/>
        </w:rPr>
        <w:t>e</w:t>
      </w:r>
      <w:r w:rsidRPr="0034382E">
        <w:rPr>
          <w:rFonts w:cstheme="minorHAnsi"/>
          <w:spacing w:val="2"/>
        </w:rPr>
        <w:t>š</w:t>
      </w:r>
      <w:r w:rsidRPr="0034382E">
        <w:rPr>
          <w:rFonts w:cstheme="minorHAnsi"/>
          <w:spacing w:val="-1"/>
        </w:rPr>
        <w:t>k</w:t>
      </w:r>
      <w:r w:rsidRPr="0034382E">
        <w:rPr>
          <w:rFonts w:cstheme="minorHAnsi"/>
          <w:spacing w:val="1"/>
        </w:rPr>
        <w:t>e</w:t>
      </w:r>
      <w:r w:rsidRPr="0034382E">
        <w:rPr>
          <w:rFonts w:cstheme="minorHAnsi"/>
        </w:rPr>
        <w:t xml:space="preserve">ré </w:t>
      </w:r>
      <w:r w:rsidRPr="0034382E">
        <w:rPr>
          <w:rFonts w:cstheme="minorHAnsi"/>
          <w:spacing w:val="-1"/>
        </w:rPr>
        <w:t>n</w:t>
      </w:r>
      <w:r w:rsidRPr="0034382E">
        <w:rPr>
          <w:rFonts w:cstheme="minorHAnsi"/>
          <w:spacing w:val="1"/>
        </w:rPr>
        <w:t>á</w:t>
      </w:r>
      <w:r w:rsidRPr="0034382E">
        <w:rPr>
          <w:rFonts w:cstheme="minorHAnsi"/>
          <w:spacing w:val="-1"/>
        </w:rPr>
        <w:t>k</w:t>
      </w:r>
      <w:r w:rsidRPr="0034382E">
        <w:rPr>
          <w:rFonts w:cstheme="minorHAnsi"/>
        </w:rPr>
        <w:t>l</w:t>
      </w:r>
      <w:r w:rsidRPr="0034382E">
        <w:rPr>
          <w:rFonts w:cstheme="minorHAnsi"/>
          <w:spacing w:val="1"/>
        </w:rPr>
        <w:t>a</w:t>
      </w:r>
      <w:r w:rsidRPr="0034382E">
        <w:rPr>
          <w:rFonts w:cstheme="minorHAnsi"/>
        </w:rPr>
        <w:t xml:space="preserve">dy </w:t>
      </w:r>
      <w:r w:rsidR="008B43CC">
        <w:rPr>
          <w:rFonts w:cstheme="minorHAnsi"/>
          <w:spacing w:val="2"/>
        </w:rPr>
        <w:t>účastník</w:t>
      </w:r>
      <w:r w:rsidR="00E0529E" w:rsidRPr="0034382E">
        <w:rPr>
          <w:rFonts w:cstheme="minorHAnsi"/>
          <w:spacing w:val="2"/>
        </w:rPr>
        <w:t xml:space="preserve"> zadávacího řízení v pozici dodavatele</w:t>
      </w:r>
      <w:r w:rsidRPr="0034382E">
        <w:rPr>
          <w:rFonts w:cstheme="minorHAnsi"/>
        </w:rPr>
        <w:t>. S</w:t>
      </w:r>
      <w:r w:rsidRPr="0034382E">
        <w:rPr>
          <w:rFonts w:cstheme="minorHAnsi"/>
          <w:spacing w:val="1"/>
        </w:rPr>
        <w:t>o</w:t>
      </w:r>
      <w:r w:rsidRPr="0034382E">
        <w:rPr>
          <w:rFonts w:cstheme="minorHAnsi"/>
          <w:spacing w:val="-1"/>
        </w:rPr>
        <w:t>uč</w:t>
      </w:r>
      <w:r w:rsidRPr="0034382E">
        <w:rPr>
          <w:rFonts w:cstheme="minorHAnsi"/>
          <w:spacing w:val="1"/>
        </w:rPr>
        <w:t>á</w:t>
      </w:r>
      <w:r w:rsidRPr="0034382E">
        <w:rPr>
          <w:rFonts w:cstheme="minorHAnsi"/>
        </w:rPr>
        <w:t>stí</w:t>
      </w:r>
      <w:r w:rsidRPr="0034382E">
        <w:rPr>
          <w:rFonts w:cstheme="minorHAnsi"/>
          <w:spacing w:val="5"/>
        </w:rPr>
        <w:t xml:space="preserve"> </w:t>
      </w:r>
      <w:r w:rsidRPr="0034382E">
        <w:rPr>
          <w:rFonts w:cstheme="minorHAnsi"/>
        </w:rPr>
        <w:t>p</w:t>
      </w:r>
      <w:r w:rsidRPr="0034382E">
        <w:rPr>
          <w:rFonts w:cstheme="minorHAnsi"/>
          <w:spacing w:val="2"/>
        </w:rPr>
        <w:t>l</w:t>
      </w:r>
      <w:r w:rsidRPr="0034382E">
        <w:rPr>
          <w:rFonts w:cstheme="minorHAnsi"/>
          <w:spacing w:val="-1"/>
        </w:rPr>
        <w:t>n</w:t>
      </w:r>
      <w:r w:rsidRPr="0034382E">
        <w:rPr>
          <w:rFonts w:cstheme="minorHAnsi"/>
          <w:spacing w:val="1"/>
        </w:rPr>
        <w:t>ěn</w:t>
      </w:r>
      <w:r w:rsidRPr="0034382E">
        <w:rPr>
          <w:rFonts w:cstheme="minorHAnsi"/>
        </w:rPr>
        <w:t xml:space="preserve">í </w:t>
      </w:r>
      <w:r w:rsidRPr="0034382E">
        <w:rPr>
          <w:rFonts w:cstheme="minorHAnsi"/>
          <w:spacing w:val="-1"/>
        </w:rPr>
        <w:t>j</w:t>
      </w:r>
      <w:r w:rsidRPr="0034382E">
        <w:rPr>
          <w:rFonts w:cstheme="minorHAnsi"/>
        </w:rPr>
        <w:t>e</w:t>
      </w:r>
      <w:r w:rsidRPr="0034382E">
        <w:rPr>
          <w:rFonts w:cstheme="minorHAnsi"/>
          <w:spacing w:val="11"/>
        </w:rPr>
        <w:t xml:space="preserve"> </w:t>
      </w:r>
      <w:r w:rsidRPr="0034382E">
        <w:rPr>
          <w:rFonts w:cstheme="minorHAnsi"/>
        </w:rPr>
        <w:t>z</w:t>
      </w:r>
      <w:r w:rsidRPr="0034382E">
        <w:rPr>
          <w:rFonts w:cstheme="minorHAnsi"/>
          <w:spacing w:val="1"/>
        </w:rPr>
        <w:t>a</w:t>
      </w:r>
      <w:r w:rsidRPr="0034382E">
        <w:rPr>
          <w:rFonts w:cstheme="minorHAnsi"/>
          <w:spacing w:val="-1"/>
        </w:rPr>
        <w:t>j</w:t>
      </w:r>
      <w:r w:rsidRPr="0034382E">
        <w:rPr>
          <w:rFonts w:cstheme="minorHAnsi"/>
        </w:rPr>
        <w:t>išt</w:t>
      </w:r>
      <w:r w:rsidRPr="0034382E">
        <w:rPr>
          <w:rFonts w:cstheme="minorHAnsi"/>
          <w:spacing w:val="1"/>
        </w:rPr>
        <w:t>ě</w:t>
      </w:r>
      <w:r w:rsidRPr="0034382E">
        <w:rPr>
          <w:rFonts w:cstheme="minorHAnsi"/>
          <w:spacing w:val="-1"/>
        </w:rPr>
        <w:t>n</w:t>
      </w:r>
      <w:r w:rsidRPr="0034382E">
        <w:rPr>
          <w:rFonts w:cstheme="minorHAnsi"/>
        </w:rPr>
        <w:t>í</w:t>
      </w:r>
      <w:r w:rsidRPr="0034382E">
        <w:rPr>
          <w:rFonts w:cstheme="minorHAnsi"/>
          <w:spacing w:val="8"/>
        </w:rPr>
        <w:t xml:space="preserve"> </w:t>
      </w:r>
      <w:r w:rsidRPr="0034382E">
        <w:rPr>
          <w:rFonts w:cstheme="minorHAnsi"/>
          <w:spacing w:val="-1"/>
        </w:rPr>
        <w:t>v</w:t>
      </w:r>
      <w:r w:rsidRPr="0034382E">
        <w:rPr>
          <w:rFonts w:cstheme="minorHAnsi"/>
        </w:rPr>
        <w:t>š</w:t>
      </w:r>
      <w:r w:rsidRPr="0034382E">
        <w:rPr>
          <w:rFonts w:cstheme="minorHAnsi"/>
          <w:spacing w:val="1"/>
        </w:rPr>
        <w:t>e</w:t>
      </w:r>
      <w:r w:rsidRPr="0034382E">
        <w:rPr>
          <w:rFonts w:cstheme="minorHAnsi"/>
          <w:spacing w:val="2"/>
        </w:rPr>
        <w:t>c</w:t>
      </w:r>
      <w:r w:rsidRPr="0034382E">
        <w:rPr>
          <w:rFonts w:cstheme="minorHAnsi"/>
        </w:rPr>
        <w:t xml:space="preserve">h </w:t>
      </w:r>
      <w:r w:rsidRPr="0034382E">
        <w:rPr>
          <w:rFonts w:cstheme="minorHAnsi"/>
          <w:spacing w:val="-1"/>
        </w:rPr>
        <w:t>č</w:t>
      </w:r>
      <w:r w:rsidRPr="0034382E">
        <w:rPr>
          <w:rFonts w:cstheme="minorHAnsi"/>
        </w:rPr>
        <w:t>i</w:t>
      </w:r>
      <w:r w:rsidRPr="0034382E">
        <w:rPr>
          <w:rFonts w:cstheme="minorHAnsi"/>
          <w:spacing w:val="1"/>
        </w:rPr>
        <w:t>n</w:t>
      </w:r>
      <w:r w:rsidRPr="0034382E">
        <w:rPr>
          <w:rFonts w:cstheme="minorHAnsi"/>
          <w:spacing w:val="-1"/>
        </w:rPr>
        <w:t>n</w:t>
      </w:r>
      <w:r w:rsidRPr="0034382E">
        <w:rPr>
          <w:rFonts w:cstheme="minorHAnsi"/>
          <w:spacing w:val="2"/>
        </w:rPr>
        <w:t>o</w:t>
      </w:r>
      <w:r w:rsidRPr="0034382E">
        <w:rPr>
          <w:rFonts w:cstheme="minorHAnsi"/>
        </w:rPr>
        <w:t>stí</w:t>
      </w:r>
      <w:r w:rsidRPr="0034382E">
        <w:rPr>
          <w:rFonts w:cstheme="minorHAnsi"/>
          <w:spacing w:val="5"/>
        </w:rPr>
        <w:t xml:space="preserve"> </w:t>
      </w:r>
      <w:r w:rsidRPr="0034382E">
        <w:rPr>
          <w:rFonts w:cstheme="minorHAnsi"/>
        </w:rPr>
        <w:t>so</w:t>
      </w:r>
      <w:r w:rsidRPr="0034382E">
        <w:rPr>
          <w:rFonts w:cstheme="minorHAnsi"/>
          <w:spacing w:val="-1"/>
        </w:rPr>
        <w:t>u</w:t>
      </w:r>
      <w:r w:rsidRPr="0034382E">
        <w:rPr>
          <w:rFonts w:cstheme="minorHAnsi"/>
          <w:spacing w:val="1"/>
        </w:rPr>
        <w:t>v</w:t>
      </w:r>
      <w:r w:rsidRPr="0034382E">
        <w:rPr>
          <w:rFonts w:cstheme="minorHAnsi"/>
        </w:rPr>
        <w:t>is</w:t>
      </w:r>
      <w:r w:rsidRPr="0034382E">
        <w:rPr>
          <w:rFonts w:cstheme="minorHAnsi"/>
          <w:spacing w:val="1"/>
        </w:rPr>
        <w:t>e</w:t>
      </w:r>
      <w:r w:rsidRPr="0034382E">
        <w:rPr>
          <w:rFonts w:cstheme="minorHAnsi"/>
          <w:spacing w:val="-1"/>
        </w:rPr>
        <w:t>j</w:t>
      </w:r>
      <w:r w:rsidRPr="0034382E">
        <w:rPr>
          <w:rFonts w:cstheme="minorHAnsi"/>
          <w:spacing w:val="2"/>
        </w:rPr>
        <w:t>í</w:t>
      </w:r>
      <w:r w:rsidRPr="0034382E">
        <w:rPr>
          <w:rFonts w:cstheme="minorHAnsi"/>
          <w:spacing w:val="-1"/>
        </w:rPr>
        <w:t>c</w:t>
      </w:r>
      <w:r w:rsidRPr="0034382E">
        <w:rPr>
          <w:rFonts w:cstheme="minorHAnsi"/>
        </w:rPr>
        <w:t>í</w:t>
      </w:r>
      <w:r w:rsidRPr="0034382E">
        <w:rPr>
          <w:rFonts w:cstheme="minorHAnsi"/>
          <w:spacing w:val="2"/>
        </w:rPr>
        <w:t>c</w:t>
      </w:r>
      <w:r w:rsidRPr="0034382E">
        <w:rPr>
          <w:rFonts w:cstheme="minorHAnsi"/>
        </w:rPr>
        <w:t>h se</w:t>
      </w:r>
      <w:r w:rsidR="00EE3C5F" w:rsidRPr="0034382E">
        <w:rPr>
          <w:rFonts w:cstheme="minorHAnsi"/>
        </w:rPr>
        <w:t xml:space="preserve"> </w:t>
      </w:r>
      <w:r w:rsidRPr="0034382E">
        <w:rPr>
          <w:rFonts w:cstheme="minorHAnsi"/>
        </w:rPr>
        <w:t>z</w:t>
      </w:r>
      <w:r w:rsidRPr="0034382E">
        <w:rPr>
          <w:rFonts w:cstheme="minorHAnsi"/>
          <w:spacing w:val="1"/>
        </w:rPr>
        <w:t>a</w:t>
      </w:r>
      <w:r w:rsidRPr="0034382E">
        <w:rPr>
          <w:rFonts w:cstheme="minorHAnsi"/>
          <w:spacing w:val="-1"/>
        </w:rPr>
        <w:t>j</w:t>
      </w:r>
      <w:r w:rsidRPr="0034382E">
        <w:rPr>
          <w:rFonts w:cstheme="minorHAnsi"/>
        </w:rPr>
        <w:t>išt</w:t>
      </w:r>
      <w:r w:rsidRPr="0034382E">
        <w:rPr>
          <w:rFonts w:cstheme="minorHAnsi"/>
          <w:spacing w:val="1"/>
        </w:rPr>
        <w:t>ě</w:t>
      </w:r>
      <w:r w:rsidRPr="0034382E">
        <w:rPr>
          <w:rFonts w:cstheme="minorHAnsi"/>
          <w:spacing w:val="-1"/>
        </w:rPr>
        <w:t>n</w:t>
      </w:r>
      <w:r w:rsidRPr="0034382E">
        <w:rPr>
          <w:rFonts w:cstheme="minorHAnsi"/>
        </w:rPr>
        <w:t>ím</w:t>
      </w:r>
      <w:r w:rsidRPr="0034382E">
        <w:rPr>
          <w:rFonts w:cstheme="minorHAnsi"/>
          <w:spacing w:val="-9"/>
        </w:rPr>
        <w:t xml:space="preserve"> </w:t>
      </w:r>
      <w:r w:rsidRPr="0034382E">
        <w:rPr>
          <w:rFonts w:cstheme="minorHAnsi"/>
        </w:rPr>
        <w:t>pož</w:t>
      </w:r>
      <w:r w:rsidRPr="0034382E">
        <w:rPr>
          <w:rFonts w:cstheme="minorHAnsi"/>
          <w:spacing w:val="1"/>
        </w:rPr>
        <w:t>a</w:t>
      </w:r>
      <w:r w:rsidRPr="0034382E">
        <w:rPr>
          <w:rFonts w:cstheme="minorHAnsi"/>
        </w:rPr>
        <w:t>d</w:t>
      </w:r>
      <w:r w:rsidRPr="0034382E">
        <w:rPr>
          <w:rFonts w:cstheme="minorHAnsi"/>
          <w:spacing w:val="2"/>
        </w:rPr>
        <w:t>o</w:t>
      </w:r>
      <w:r w:rsidRPr="0034382E">
        <w:rPr>
          <w:rFonts w:cstheme="minorHAnsi"/>
          <w:spacing w:val="-1"/>
        </w:rPr>
        <w:t>v</w:t>
      </w:r>
      <w:r w:rsidRPr="0034382E">
        <w:rPr>
          <w:rFonts w:cstheme="minorHAnsi"/>
          <w:spacing w:val="1"/>
        </w:rPr>
        <w:t>a</w:t>
      </w:r>
      <w:r w:rsidRPr="0034382E">
        <w:rPr>
          <w:rFonts w:cstheme="minorHAnsi"/>
          <w:spacing w:val="-1"/>
        </w:rPr>
        <w:t>n</w:t>
      </w:r>
      <w:r w:rsidRPr="0034382E">
        <w:rPr>
          <w:rFonts w:cstheme="minorHAnsi"/>
          <w:spacing w:val="1"/>
        </w:rPr>
        <w:t>ý</w:t>
      </w:r>
      <w:r w:rsidRPr="0034382E">
        <w:rPr>
          <w:rFonts w:cstheme="minorHAnsi"/>
          <w:spacing w:val="-1"/>
        </w:rPr>
        <w:t>c</w:t>
      </w:r>
      <w:r w:rsidRPr="0034382E">
        <w:rPr>
          <w:rFonts w:cstheme="minorHAnsi"/>
        </w:rPr>
        <w:t>h</w:t>
      </w:r>
      <w:r w:rsidRPr="0034382E">
        <w:rPr>
          <w:rFonts w:cstheme="minorHAnsi"/>
          <w:spacing w:val="-12"/>
        </w:rPr>
        <w:t xml:space="preserve"> </w:t>
      </w:r>
      <w:r w:rsidRPr="0034382E">
        <w:rPr>
          <w:rFonts w:cstheme="minorHAnsi"/>
        </w:rPr>
        <w:t>s</w:t>
      </w:r>
      <w:r w:rsidRPr="0034382E">
        <w:rPr>
          <w:rFonts w:cstheme="minorHAnsi"/>
          <w:spacing w:val="2"/>
        </w:rPr>
        <w:t>l</w:t>
      </w:r>
      <w:r w:rsidRPr="0034382E">
        <w:rPr>
          <w:rFonts w:cstheme="minorHAnsi"/>
          <w:spacing w:val="-1"/>
        </w:rPr>
        <w:t>u</w:t>
      </w:r>
      <w:r w:rsidRPr="0034382E">
        <w:rPr>
          <w:rFonts w:cstheme="minorHAnsi"/>
        </w:rPr>
        <w:t>ž</w:t>
      </w:r>
      <w:r w:rsidRPr="0034382E">
        <w:rPr>
          <w:rFonts w:cstheme="minorHAnsi"/>
          <w:spacing w:val="1"/>
        </w:rPr>
        <w:t>e</w:t>
      </w:r>
      <w:r w:rsidRPr="0034382E">
        <w:rPr>
          <w:rFonts w:cstheme="minorHAnsi"/>
        </w:rPr>
        <w:t>b.</w:t>
      </w:r>
    </w:p>
    <w:p w14:paraId="78DF8730" w14:textId="0000BDDD" w:rsidR="006525E5" w:rsidRPr="0002213A" w:rsidRDefault="006525E5" w:rsidP="00EE3C5F">
      <w:pPr>
        <w:jc w:val="both"/>
        <w:rPr>
          <w:rFonts w:cstheme="minorHAnsi"/>
        </w:rPr>
      </w:pPr>
      <w:r w:rsidRPr="00181F45">
        <w:rPr>
          <w:rFonts w:cstheme="minorHAnsi"/>
        </w:rPr>
        <w:t xml:space="preserve">Veškeré níže uvedené technické podmínky poskytování telekomunikačních služeb představují minimální úroveň rozsahu poskytovaných služeb, která musí být </w:t>
      </w:r>
      <w:r w:rsidR="00172F25">
        <w:rPr>
          <w:rFonts w:cstheme="minorHAnsi"/>
        </w:rPr>
        <w:t>dodavatel</w:t>
      </w:r>
      <w:r w:rsidRPr="00181F45">
        <w:rPr>
          <w:rFonts w:cstheme="minorHAnsi"/>
        </w:rPr>
        <w:t>em zajištěna po celou dobu trvání smlouvy</w:t>
      </w:r>
      <w:r w:rsidR="0002213A" w:rsidRPr="00181F45">
        <w:rPr>
          <w:rFonts w:cstheme="minorHAnsi"/>
        </w:rPr>
        <w:t>.</w:t>
      </w:r>
    </w:p>
    <w:p w14:paraId="32524196" w14:textId="4CC090AD" w:rsidR="00F77C18" w:rsidRPr="0034382E" w:rsidRDefault="003960EA" w:rsidP="00EE3C5F">
      <w:pPr>
        <w:jc w:val="both"/>
        <w:rPr>
          <w:rFonts w:cstheme="minorHAnsi"/>
        </w:rPr>
      </w:pPr>
      <w:r w:rsidRPr="0034382E">
        <w:rPr>
          <w:rFonts w:cstheme="minorHAnsi"/>
        </w:rPr>
        <w:t xml:space="preserve">Zadavatel požaduje </w:t>
      </w:r>
      <w:r w:rsidR="00F77C18" w:rsidRPr="0034382E">
        <w:rPr>
          <w:rFonts w:cstheme="minorHAnsi"/>
        </w:rPr>
        <w:t>propojení sítě mobilního operátora s PBX VŠB-TUO v</w:t>
      </w:r>
      <w:r w:rsidR="00E0529E" w:rsidRPr="0034382E">
        <w:rPr>
          <w:rFonts w:cstheme="minorHAnsi"/>
        </w:rPr>
        <w:t> </w:t>
      </w:r>
      <w:r w:rsidR="00F77C18" w:rsidRPr="0034382E">
        <w:rPr>
          <w:rFonts w:cstheme="minorHAnsi"/>
        </w:rPr>
        <w:t>Ostravě</w:t>
      </w:r>
      <w:r w:rsidR="00E0529E" w:rsidRPr="0034382E">
        <w:rPr>
          <w:rFonts w:cstheme="minorHAnsi"/>
        </w:rPr>
        <w:t>-</w:t>
      </w:r>
      <w:r w:rsidR="00F77C18" w:rsidRPr="0034382E">
        <w:rPr>
          <w:rFonts w:cstheme="minorHAnsi"/>
        </w:rPr>
        <w:t xml:space="preserve">Porubě na adrese 17. listopadu </w:t>
      </w:r>
      <w:r w:rsidR="004B48C1" w:rsidRPr="0034382E">
        <w:rPr>
          <w:rFonts w:cstheme="minorHAnsi"/>
        </w:rPr>
        <w:t>2172/15</w:t>
      </w:r>
      <w:r w:rsidR="00F77C18" w:rsidRPr="0034382E">
        <w:rPr>
          <w:rFonts w:cstheme="minorHAnsi"/>
        </w:rPr>
        <w:t xml:space="preserve"> v místnosti A023</w:t>
      </w:r>
      <w:r w:rsidR="004E7A9F">
        <w:rPr>
          <w:rFonts w:cstheme="minorHAnsi"/>
        </w:rPr>
        <w:t xml:space="preserve"> (umístění OpenScape SBC)</w:t>
      </w:r>
      <w:r w:rsidR="00F77C18" w:rsidRPr="0034382E">
        <w:rPr>
          <w:rFonts w:cstheme="minorHAnsi"/>
        </w:rPr>
        <w:t>, kde budou terminovány provolby 59699 a 59732 s kapacitou 10 tis. čísel.</w:t>
      </w:r>
    </w:p>
    <w:p w14:paraId="18AAE8CB" w14:textId="66A1D528" w:rsidR="00F77C18" w:rsidRPr="0034382E" w:rsidRDefault="00172F25" w:rsidP="00EE3C5F">
      <w:pPr>
        <w:jc w:val="both"/>
        <w:rPr>
          <w:rFonts w:cstheme="minorHAnsi"/>
        </w:rPr>
      </w:pPr>
      <w:r>
        <w:rPr>
          <w:rFonts w:cstheme="minorHAnsi"/>
        </w:rPr>
        <w:t>Dodavatel</w:t>
      </w:r>
      <w:r w:rsidR="00F77C18" w:rsidRPr="0034382E">
        <w:rPr>
          <w:rFonts w:cstheme="minorHAnsi"/>
        </w:rPr>
        <w:t xml:space="preserve"> použije </w:t>
      </w:r>
      <w:r w:rsidR="0002213A">
        <w:rPr>
          <w:rFonts w:cstheme="minorHAnsi"/>
        </w:rPr>
        <w:t xml:space="preserve">relační protokol SIP přes IP tzv. SIP trunk umožňující realizovat současně minimálně 60 obousměrných hlasových </w:t>
      </w:r>
      <w:r w:rsidR="004E7A9F">
        <w:rPr>
          <w:rFonts w:cstheme="minorHAnsi"/>
        </w:rPr>
        <w:t xml:space="preserve">relací s kodekem G.711 Alaw. SIP trunk bude ukončen na SBC (Session Border Controler) v majetku zadavatele (OpenScape SBC). </w:t>
      </w:r>
    </w:p>
    <w:p w14:paraId="6FB16A4B" w14:textId="2D7958F1" w:rsidR="00F77C18" w:rsidRPr="0034382E" w:rsidRDefault="00172F25" w:rsidP="00EE3C5F">
      <w:pPr>
        <w:jc w:val="both"/>
        <w:rPr>
          <w:rFonts w:cstheme="minorHAnsi"/>
        </w:rPr>
      </w:pPr>
      <w:r>
        <w:rPr>
          <w:rFonts w:cstheme="minorHAnsi"/>
        </w:rPr>
        <w:t>Dodavatel</w:t>
      </w:r>
      <w:r w:rsidR="00F77C18" w:rsidRPr="0034382E">
        <w:rPr>
          <w:rFonts w:cstheme="minorHAnsi"/>
        </w:rPr>
        <w:t xml:space="preserve"> zajistí příchozí terminaci volání přes provolbu 59699 a 59732.</w:t>
      </w:r>
    </w:p>
    <w:p w14:paraId="0447A215" w14:textId="221EFBF7" w:rsidR="00C27D19" w:rsidRPr="005E47B1" w:rsidRDefault="00172F25" w:rsidP="00EE3C5F">
      <w:pPr>
        <w:jc w:val="both"/>
        <w:rPr>
          <w:rFonts w:cstheme="minorHAnsi"/>
        </w:rPr>
      </w:pPr>
      <w:r>
        <w:rPr>
          <w:rFonts w:cstheme="minorHAnsi"/>
        </w:rPr>
        <w:t>Dodavatel</w:t>
      </w:r>
      <w:r w:rsidR="002750B5" w:rsidRPr="005E47B1">
        <w:rPr>
          <w:rFonts w:cstheme="minorHAnsi"/>
        </w:rPr>
        <w:t xml:space="preserve"> </w:t>
      </w:r>
      <w:r w:rsidR="00E0529E" w:rsidRPr="005E47B1">
        <w:rPr>
          <w:rFonts w:cstheme="minorHAnsi"/>
        </w:rPr>
        <w:t xml:space="preserve">ve své nabídce </w:t>
      </w:r>
      <w:r w:rsidR="002750B5" w:rsidRPr="005E47B1">
        <w:rPr>
          <w:rFonts w:cstheme="minorHAnsi"/>
        </w:rPr>
        <w:t>popíše technick</w:t>
      </w:r>
      <w:r w:rsidR="002523F9" w:rsidRPr="005E47B1">
        <w:rPr>
          <w:rFonts w:cstheme="minorHAnsi"/>
        </w:rPr>
        <w:t>é</w:t>
      </w:r>
      <w:r w:rsidR="002750B5" w:rsidRPr="005E47B1">
        <w:rPr>
          <w:rFonts w:cstheme="minorHAnsi"/>
        </w:rPr>
        <w:t xml:space="preserve"> </w:t>
      </w:r>
      <w:r w:rsidR="00E0529E" w:rsidRPr="005E47B1">
        <w:rPr>
          <w:rFonts w:cstheme="minorHAnsi"/>
        </w:rPr>
        <w:t>řešení</w:t>
      </w:r>
      <w:r w:rsidR="004E7A9F">
        <w:rPr>
          <w:rFonts w:cstheme="minorHAnsi"/>
        </w:rPr>
        <w:t xml:space="preserve"> </w:t>
      </w:r>
      <w:r w:rsidR="006670C2">
        <w:rPr>
          <w:rFonts w:cstheme="minorHAnsi"/>
        </w:rPr>
        <w:t>připojení.</w:t>
      </w:r>
      <w:r w:rsidR="006670C2" w:rsidRPr="005E47B1">
        <w:rPr>
          <w:rFonts w:cstheme="minorHAnsi"/>
        </w:rPr>
        <w:t xml:space="preserve"> V</w:t>
      </w:r>
      <w:r w:rsidR="002750B5" w:rsidRPr="005E47B1">
        <w:rPr>
          <w:rFonts w:cstheme="minorHAnsi"/>
        </w:rPr>
        <w:t xml:space="preserve"> případě umístění telekomunikačního uzlu </w:t>
      </w:r>
      <w:r>
        <w:rPr>
          <w:rFonts w:cstheme="minorHAnsi"/>
        </w:rPr>
        <w:t>dodavatele</w:t>
      </w:r>
      <w:r w:rsidR="002750B5" w:rsidRPr="005E47B1">
        <w:rPr>
          <w:rFonts w:cstheme="minorHAnsi"/>
        </w:rPr>
        <w:t xml:space="preserve"> v místě plnění poskytne zadavatel součinnost a nabídne své kabelové trasy k</w:t>
      </w:r>
      <w:r w:rsidR="004B48C1" w:rsidRPr="005E47B1">
        <w:rPr>
          <w:rFonts w:cstheme="minorHAnsi"/>
        </w:rPr>
        <w:t xml:space="preserve"> vytvoření </w:t>
      </w:r>
      <w:r w:rsidR="002750B5" w:rsidRPr="005E47B1">
        <w:rPr>
          <w:rFonts w:cstheme="minorHAnsi"/>
        </w:rPr>
        <w:t>propoje s ústřednou rektorátu VŠB-TUO v místnosti A023 (</w:t>
      </w:r>
      <w:r>
        <w:rPr>
          <w:rFonts w:cstheme="minorHAnsi"/>
        </w:rPr>
        <w:t>dodavatel</w:t>
      </w:r>
      <w:r w:rsidR="002750B5" w:rsidRPr="005E47B1">
        <w:rPr>
          <w:rFonts w:cstheme="minorHAnsi"/>
        </w:rPr>
        <w:t xml:space="preserve"> si ověří proveditelnost tohoto řešení písemným dotazem na zadavatele).</w:t>
      </w:r>
      <w:r w:rsidR="00D6468B" w:rsidRPr="005E47B1">
        <w:rPr>
          <w:rFonts w:cstheme="minorHAnsi"/>
        </w:rPr>
        <w:t xml:space="preserve"> </w:t>
      </w:r>
    </w:p>
    <w:p w14:paraId="4B21A338" w14:textId="6D6ABC0D" w:rsidR="00F77C18" w:rsidRPr="005E47B1" w:rsidRDefault="002750B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explicitně uvádí, že </w:t>
      </w:r>
      <w:r w:rsidR="00172F25">
        <w:rPr>
          <w:rFonts w:cstheme="minorHAnsi"/>
        </w:rPr>
        <w:t>dodavatel</w:t>
      </w:r>
      <w:r w:rsidRPr="005E47B1">
        <w:rPr>
          <w:rFonts w:cstheme="minorHAnsi"/>
        </w:rPr>
        <w:t xml:space="preserve"> nesmí cenu služeb vázat na objem zakázky (minimální plnění).</w:t>
      </w:r>
    </w:p>
    <w:p w14:paraId="647F7FE5" w14:textId="37F30682" w:rsidR="00F77C18" w:rsidRPr="005E47B1" w:rsidRDefault="00F77C18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lastRenderedPageBreak/>
        <w:t xml:space="preserve">Před </w:t>
      </w:r>
      <w:r w:rsidR="00B8418C" w:rsidRPr="005E47B1">
        <w:rPr>
          <w:rFonts w:cstheme="minorHAnsi"/>
        </w:rPr>
        <w:t xml:space="preserve">vlastním </w:t>
      </w:r>
      <w:r w:rsidRPr="005E47B1">
        <w:rPr>
          <w:rFonts w:cstheme="minorHAnsi"/>
        </w:rPr>
        <w:t>připojením bude proveden test interoperability s</w:t>
      </w:r>
      <w:r w:rsidR="004E7A9F">
        <w:rPr>
          <w:rFonts w:cstheme="minorHAnsi"/>
        </w:rPr>
        <w:t> OpenScape SBC</w:t>
      </w:r>
      <w:r w:rsidRPr="005E47B1">
        <w:rPr>
          <w:rFonts w:cstheme="minorHAnsi"/>
        </w:rPr>
        <w:t>, může být nahrazeno zprávou o provedeném testu přímo výrobce</w:t>
      </w:r>
      <w:r w:rsidR="0068081F" w:rsidRPr="005E47B1">
        <w:rPr>
          <w:rFonts w:cstheme="minorHAnsi"/>
        </w:rPr>
        <w:t xml:space="preserve">m </w:t>
      </w:r>
      <w:r w:rsidR="004E7A9F">
        <w:rPr>
          <w:rFonts w:cstheme="minorHAnsi"/>
        </w:rPr>
        <w:t>(UNIFY/</w:t>
      </w:r>
      <w:r w:rsidR="00EC7D91">
        <w:rPr>
          <w:rFonts w:cstheme="minorHAnsi"/>
        </w:rPr>
        <w:t>MITEL)</w:t>
      </w:r>
      <w:r w:rsidR="00EC7D91" w:rsidRPr="005E47B1">
        <w:rPr>
          <w:rFonts w:cstheme="minorHAnsi"/>
        </w:rPr>
        <w:t xml:space="preserve"> či</w:t>
      </w:r>
      <w:r w:rsidR="0068081F" w:rsidRPr="005E47B1">
        <w:rPr>
          <w:rFonts w:cstheme="minorHAnsi"/>
        </w:rPr>
        <w:t xml:space="preserve"> zastoupením výrobce v ČR anebo servisní organizací certifikovanou výrobcem</w:t>
      </w:r>
      <w:r w:rsidR="002513CC" w:rsidRPr="005E47B1">
        <w:rPr>
          <w:rFonts w:cstheme="minorHAnsi"/>
        </w:rPr>
        <w:t xml:space="preserve"> </w:t>
      </w:r>
      <w:r w:rsidR="004E7A9F">
        <w:rPr>
          <w:rFonts w:cstheme="minorHAnsi"/>
        </w:rPr>
        <w:t>(např. IXPERTA)</w:t>
      </w:r>
      <w:r w:rsidR="002750B5" w:rsidRPr="005E47B1">
        <w:rPr>
          <w:rFonts w:cstheme="minorHAnsi"/>
        </w:rPr>
        <w:t xml:space="preserve">. </w:t>
      </w:r>
    </w:p>
    <w:p w14:paraId="0A5A6B42" w14:textId="0095718E" w:rsidR="00F77C18" w:rsidRPr="005E47B1" w:rsidRDefault="00F77C18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Nabídnuté ceny za hovory </w:t>
      </w:r>
      <w:r w:rsidR="00C62DE5" w:rsidRPr="005E47B1">
        <w:rPr>
          <w:rFonts w:cstheme="minorHAnsi"/>
        </w:rPr>
        <w:t xml:space="preserve">z PBX </w:t>
      </w:r>
      <w:r w:rsidRPr="005E47B1">
        <w:rPr>
          <w:rFonts w:cstheme="minorHAnsi"/>
        </w:rPr>
        <w:t xml:space="preserve">budou tarifovány v 1+1 (po </w:t>
      </w:r>
      <w:r w:rsidR="00746338" w:rsidRPr="005E47B1">
        <w:rPr>
          <w:rFonts w:cstheme="minorHAnsi"/>
        </w:rPr>
        <w:t xml:space="preserve">sekundě </w:t>
      </w:r>
      <w:r w:rsidR="00EE3C5F" w:rsidRPr="005E47B1">
        <w:rPr>
          <w:rFonts w:cstheme="minorHAnsi"/>
        </w:rPr>
        <w:t>bez minimálně</w:t>
      </w:r>
      <w:r w:rsidRPr="005E47B1">
        <w:rPr>
          <w:rFonts w:cstheme="minorHAnsi"/>
        </w:rPr>
        <w:t xml:space="preserve"> účtované doby), a to jak v rámci ČR, tak i mezinárodní, výjimku mohou tvořit volání na čísla se speciálními tarify.</w:t>
      </w:r>
    </w:p>
    <w:p w14:paraId="49D16824" w14:textId="0313CB93" w:rsidR="00136856" w:rsidRPr="005E47B1" w:rsidRDefault="00136856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vyžaduje, aby při přesměrování volání z poboček VŠB-TUO bylo </w:t>
      </w:r>
      <w:r w:rsidR="00172F25">
        <w:rPr>
          <w:rFonts w:cstheme="minorHAnsi"/>
        </w:rPr>
        <w:t>dodavatel</w:t>
      </w:r>
      <w:r w:rsidR="00983E19" w:rsidRPr="005E47B1">
        <w:rPr>
          <w:rFonts w:cstheme="minorHAnsi"/>
        </w:rPr>
        <w:t xml:space="preserve">em </w:t>
      </w:r>
      <w:r w:rsidRPr="005E47B1">
        <w:rPr>
          <w:rFonts w:cstheme="minorHAnsi"/>
        </w:rPr>
        <w:t xml:space="preserve">přenášeno </w:t>
      </w:r>
      <w:r w:rsidR="00983E19" w:rsidRPr="005E47B1">
        <w:rPr>
          <w:rFonts w:cstheme="minorHAnsi"/>
        </w:rPr>
        <w:t xml:space="preserve">i </w:t>
      </w:r>
      <w:r w:rsidRPr="005E47B1">
        <w:rPr>
          <w:rFonts w:cstheme="minorHAnsi"/>
        </w:rPr>
        <w:t xml:space="preserve">originální A-číslo volajícího (např. volající s A-číslem 603565999 volá na pobočku </w:t>
      </w:r>
      <w:r w:rsidR="004B48C1" w:rsidRPr="005E47B1">
        <w:rPr>
          <w:rFonts w:cstheme="minorHAnsi"/>
        </w:rPr>
        <w:t>5940</w:t>
      </w:r>
      <w:r w:rsidRPr="005E47B1">
        <w:rPr>
          <w:rFonts w:cstheme="minorHAnsi"/>
        </w:rPr>
        <w:t>, která je přesměrována na číslo 739386241</w:t>
      </w:r>
      <w:r w:rsidR="00983E19" w:rsidRPr="005E47B1">
        <w:rPr>
          <w:rFonts w:cstheme="minorHAnsi"/>
        </w:rPr>
        <w:t xml:space="preserve"> v síti </w:t>
      </w:r>
      <w:r w:rsidR="009B4787">
        <w:rPr>
          <w:rFonts w:cstheme="minorHAnsi"/>
        </w:rPr>
        <w:t>dodavatele</w:t>
      </w:r>
      <w:r w:rsidRPr="005E47B1">
        <w:rPr>
          <w:rFonts w:cstheme="minorHAnsi"/>
        </w:rPr>
        <w:t>, přičemž volanému se zobrazí A-číslo, nikoliv jen pobočka, ze které je přesměrováno).</w:t>
      </w:r>
    </w:p>
    <w:p w14:paraId="01950A85" w14:textId="10410A2A" w:rsidR="00F77C18" w:rsidRPr="005E47B1" w:rsidRDefault="009B4787" w:rsidP="00EE3C5F">
      <w:pPr>
        <w:jc w:val="both"/>
        <w:rPr>
          <w:rFonts w:cstheme="minorHAnsi"/>
        </w:rPr>
      </w:pPr>
      <w:r>
        <w:rPr>
          <w:rFonts w:cstheme="minorHAnsi"/>
        </w:rPr>
        <w:t>Dodavatel</w:t>
      </w:r>
      <w:r w:rsidR="00F77C18" w:rsidRPr="005E47B1">
        <w:rPr>
          <w:rFonts w:cstheme="minorHAnsi"/>
        </w:rPr>
        <w:t xml:space="preserve"> nabídne shodn</w:t>
      </w:r>
      <w:r w:rsidR="004E7A9F">
        <w:rPr>
          <w:rFonts w:cstheme="minorHAnsi"/>
        </w:rPr>
        <w:t>ou sazbu</w:t>
      </w:r>
      <w:r w:rsidR="00F77C18" w:rsidRPr="005E47B1">
        <w:rPr>
          <w:rFonts w:cstheme="minorHAnsi"/>
        </w:rPr>
        <w:t xml:space="preserve"> pro </w:t>
      </w:r>
      <w:r w:rsidR="00136856" w:rsidRPr="005E47B1">
        <w:rPr>
          <w:rFonts w:cstheme="minorHAnsi"/>
        </w:rPr>
        <w:t xml:space="preserve">terminaci mezinárodních volání do </w:t>
      </w:r>
      <w:r w:rsidR="004B48C1" w:rsidRPr="005E47B1">
        <w:rPr>
          <w:rFonts w:cstheme="minorHAnsi"/>
        </w:rPr>
        <w:t xml:space="preserve">sousedních </w:t>
      </w:r>
      <w:r w:rsidR="00136856" w:rsidRPr="005E47B1">
        <w:rPr>
          <w:rFonts w:cstheme="minorHAnsi"/>
        </w:rPr>
        <w:t xml:space="preserve">států </w:t>
      </w:r>
      <w:r w:rsidR="00F77C18" w:rsidRPr="005E47B1">
        <w:rPr>
          <w:rFonts w:cstheme="minorHAnsi"/>
        </w:rPr>
        <w:t>Německo, Slovensko, Polsko</w:t>
      </w:r>
      <w:r w:rsidR="00136856" w:rsidRPr="005E47B1">
        <w:rPr>
          <w:rFonts w:cstheme="minorHAnsi"/>
        </w:rPr>
        <w:t xml:space="preserve">, </w:t>
      </w:r>
      <w:r w:rsidR="004B48C1" w:rsidRPr="005E47B1">
        <w:rPr>
          <w:rFonts w:cstheme="minorHAnsi"/>
        </w:rPr>
        <w:t>Rakousko</w:t>
      </w:r>
      <w:r w:rsidR="00F77C18" w:rsidRPr="005E47B1">
        <w:rPr>
          <w:rFonts w:cstheme="minorHAnsi"/>
        </w:rPr>
        <w:t>.</w:t>
      </w:r>
    </w:p>
    <w:p w14:paraId="4DC130D6" w14:textId="4865960E" w:rsidR="00F77C18" w:rsidRPr="005E47B1" w:rsidRDefault="00F77C18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Volání na pevné linky v ČR bude řešeno jedn</w:t>
      </w:r>
      <w:r w:rsidR="004E7A9F">
        <w:rPr>
          <w:rFonts w:cstheme="minorHAnsi"/>
        </w:rPr>
        <w:t>ou sazbou</w:t>
      </w:r>
      <w:r w:rsidRPr="005E47B1">
        <w:rPr>
          <w:rFonts w:cstheme="minorHAnsi"/>
        </w:rPr>
        <w:t>.</w:t>
      </w:r>
    </w:p>
    <w:p w14:paraId="077B5524" w14:textId="311EDA1A" w:rsidR="00704C9F" w:rsidRPr="005E47B1" w:rsidRDefault="00704C9F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Volání v rámci VPN (virtuální privá</w:t>
      </w:r>
      <w:r w:rsidR="004B48C1" w:rsidRPr="005E47B1">
        <w:rPr>
          <w:rFonts w:cstheme="minorHAnsi"/>
        </w:rPr>
        <w:t>t</w:t>
      </w:r>
      <w:r w:rsidRPr="005E47B1">
        <w:rPr>
          <w:rFonts w:cstheme="minorHAnsi"/>
        </w:rPr>
        <w:t>ní sítě) na mobilní tel.</w:t>
      </w:r>
      <w:r w:rsidR="00EE3C5F" w:rsidRPr="005E47B1">
        <w:rPr>
          <w:rFonts w:cstheme="minorHAnsi"/>
        </w:rPr>
        <w:t xml:space="preserve"> </w:t>
      </w:r>
      <w:r w:rsidRPr="005E47B1">
        <w:rPr>
          <w:rFonts w:cstheme="minorHAnsi"/>
        </w:rPr>
        <w:t>č. registrované na IČ</w:t>
      </w:r>
      <w:r w:rsidR="004B48C1" w:rsidRPr="005E47B1">
        <w:rPr>
          <w:rFonts w:cstheme="minorHAnsi"/>
        </w:rPr>
        <w:t>O</w:t>
      </w:r>
      <w:r w:rsidRPr="005E47B1">
        <w:rPr>
          <w:rFonts w:cstheme="minorHAnsi"/>
        </w:rPr>
        <w:t xml:space="preserve"> zadavatele nebude zpoplatněno (</w:t>
      </w:r>
      <w:r w:rsidR="002A67B0">
        <w:rPr>
          <w:rFonts w:cstheme="minorHAnsi"/>
        </w:rPr>
        <w:t>dodavatel</w:t>
      </w:r>
      <w:r w:rsidRPr="005E47B1">
        <w:rPr>
          <w:rFonts w:cstheme="minorHAnsi"/>
        </w:rPr>
        <w:t xml:space="preserve"> zahrne náklady do pravidelných měsíčních paušálních poplatků za připojení PBX).</w:t>
      </w:r>
    </w:p>
    <w:p w14:paraId="217E0B64" w14:textId="3361C791" w:rsidR="00136856" w:rsidRPr="005E47B1" w:rsidRDefault="00136856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Zadavatel požaduje, aby prostřednictvím všech telefonních přípojek</w:t>
      </w:r>
      <w:r w:rsidR="00C62DE5" w:rsidRPr="005E47B1">
        <w:rPr>
          <w:rFonts w:cstheme="minorHAnsi"/>
        </w:rPr>
        <w:t xml:space="preserve"> připojených k PBX </w:t>
      </w:r>
      <w:r w:rsidRPr="005E47B1">
        <w:rPr>
          <w:rFonts w:cstheme="minorHAnsi"/>
        </w:rPr>
        <w:t xml:space="preserve">měl zajištěn přístup k veřejně dostupným telefonním službám poskytovaným </w:t>
      </w:r>
      <w:r w:rsidR="002A67B0">
        <w:rPr>
          <w:rFonts w:cstheme="minorHAnsi"/>
        </w:rPr>
        <w:t>dodavatel</w:t>
      </w:r>
      <w:r w:rsidRPr="005E47B1">
        <w:rPr>
          <w:rFonts w:cstheme="minorHAnsi"/>
        </w:rPr>
        <w:t>em:</w:t>
      </w:r>
    </w:p>
    <w:p w14:paraId="7B87AF7A" w14:textId="77777777" w:rsidR="00136856" w:rsidRPr="005E47B1" w:rsidRDefault="00136856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a) tísňové volání, </w:t>
      </w:r>
    </w:p>
    <w:p w14:paraId="19E04752" w14:textId="5367EAFF" w:rsidR="00136856" w:rsidRPr="005E47B1" w:rsidRDefault="00136856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b) </w:t>
      </w:r>
      <w:r w:rsidR="004E7A9F">
        <w:rPr>
          <w:rFonts w:cstheme="minorHAnsi"/>
        </w:rPr>
        <w:t xml:space="preserve">volání na území ČR, </w:t>
      </w:r>
      <w:r w:rsidRPr="005E47B1">
        <w:rPr>
          <w:rFonts w:cstheme="minorHAnsi"/>
        </w:rPr>
        <w:t>d) mezinárodní volání,</w:t>
      </w:r>
    </w:p>
    <w:p w14:paraId="4C1CE317" w14:textId="77777777" w:rsidR="00136856" w:rsidRPr="005E47B1" w:rsidRDefault="00136856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f) volání na negeografická telefonní čísla </w:t>
      </w:r>
    </w:p>
    <w:p w14:paraId="0B40BC14" w14:textId="77777777" w:rsidR="00136856" w:rsidRPr="005E47B1" w:rsidRDefault="00136856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g) volání do neveřejných sítí,</w:t>
      </w:r>
    </w:p>
    <w:p w14:paraId="4D7C131F" w14:textId="54AF0D4E" w:rsidR="00136856" w:rsidRPr="005E47B1" w:rsidRDefault="00136856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h) volání do sítí jiných poskytovatelů.</w:t>
      </w:r>
    </w:p>
    <w:p w14:paraId="11B0F64D" w14:textId="77777777" w:rsidR="00181F45" w:rsidRDefault="00181F45" w:rsidP="00EE3C5F">
      <w:pPr>
        <w:jc w:val="both"/>
        <w:rPr>
          <w:rFonts w:cstheme="minorHAnsi"/>
        </w:rPr>
      </w:pPr>
    </w:p>
    <w:p w14:paraId="2BF66D85" w14:textId="77ADC961" w:rsidR="00983E19" w:rsidRDefault="002A67B0" w:rsidP="00EE3C5F">
      <w:pPr>
        <w:jc w:val="both"/>
        <w:rPr>
          <w:rFonts w:cstheme="minorHAnsi"/>
        </w:rPr>
      </w:pPr>
      <w:r>
        <w:rPr>
          <w:rFonts w:cstheme="minorHAnsi"/>
        </w:rPr>
        <w:t>Dodavatel</w:t>
      </w:r>
      <w:r w:rsidR="00136856" w:rsidRPr="005E47B1">
        <w:rPr>
          <w:rFonts w:cstheme="minorHAnsi"/>
        </w:rPr>
        <w:t xml:space="preserve"> musí garantovat minimální měsíční dostupnost požadovaných služeb na úrovni 99,</w:t>
      </w:r>
      <w:r w:rsidR="004E7A9F">
        <w:rPr>
          <w:rFonts w:cstheme="minorHAnsi"/>
        </w:rPr>
        <w:t>5</w:t>
      </w:r>
      <w:r w:rsidR="00136856" w:rsidRPr="005E47B1">
        <w:rPr>
          <w:rFonts w:cstheme="minorHAnsi"/>
        </w:rPr>
        <w:t xml:space="preserve"> %. </w:t>
      </w:r>
    </w:p>
    <w:p w14:paraId="27D45851" w14:textId="77777777" w:rsidR="00136856" w:rsidRPr="005E47B1" w:rsidRDefault="00136856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a) Dostupnost je vypočítána jako poměr času, kdy jsou poskytované služby plně k dispozici, k celkovému času za sledované období.</w:t>
      </w:r>
    </w:p>
    <w:p w14:paraId="184CDC77" w14:textId="77777777" w:rsidR="00136856" w:rsidRPr="005E47B1" w:rsidRDefault="00983E19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b</w:t>
      </w:r>
      <w:r w:rsidR="00136856" w:rsidRPr="005E47B1">
        <w:rPr>
          <w:rFonts w:cstheme="minorHAnsi"/>
        </w:rPr>
        <w:t>) Doby se zaokrouhlují na celé minuty nahoru, dostupnost se vyjádří v procentech zaokrouhleně na jedno desetinné místo.</w:t>
      </w:r>
    </w:p>
    <w:p w14:paraId="57B28E2E" w14:textId="77777777" w:rsidR="00136856" w:rsidRPr="005E47B1" w:rsidRDefault="00983E19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c</w:t>
      </w:r>
      <w:r w:rsidR="00136856" w:rsidRPr="005E47B1">
        <w:rPr>
          <w:rFonts w:cstheme="minorHAnsi"/>
        </w:rPr>
        <w:t>) Poruchou služby se rozumí stav, kdy jeden nebo více paramet</w:t>
      </w:r>
      <w:r w:rsidR="00537A85" w:rsidRPr="005E47B1">
        <w:rPr>
          <w:rFonts w:cstheme="minorHAnsi"/>
        </w:rPr>
        <w:t xml:space="preserve">rů služby jsou v rozporu se </w:t>
      </w:r>
      <w:r w:rsidR="00136856" w:rsidRPr="005E47B1">
        <w:rPr>
          <w:rFonts w:cstheme="minorHAnsi"/>
        </w:rPr>
        <w:t>sjednanými parametry.</w:t>
      </w:r>
    </w:p>
    <w:p w14:paraId="4D74EF27" w14:textId="1A078C0E" w:rsidR="008A118C" w:rsidRDefault="00983E19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d</w:t>
      </w:r>
      <w:r w:rsidR="00136856" w:rsidRPr="005E47B1">
        <w:rPr>
          <w:rFonts w:cstheme="minorHAnsi"/>
        </w:rPr>
        <w:t>) Do doby nedostupnosti se nezapočítává doba potřebná k proveden</w:t>
      </w:r>
      <w:r w:rsidR="00537A85" w:rsidRPr="005E47B1">
        <w:rPr>
          <w:rFonts w:cstheme="minorHAnsi"/>
        </w:rPr>
        <w:t xml:space="preserve">í plánovaných udržovacích prací </w:t>
      </w:r>
      <w:r w:rsidR="00136856" w:rsidRPr="005E47B1">
        <w:rPr>
          <w:rFonts w:cstheme="minorHAnsi"/>
        </w:rPr>
        <w:t>dodavatele.</w:t>
      </w:r>
    </w:p>
    <w:p w14:paraId="1747572B" w14:textId="77777777" w:rsidR="008A118C" w:rsidRPr="005E47B1" w:rsidRDefault="008A118C" w:rsidP="00EE3C5F">
      <w:pPr>
        <w:jc w:val="both"/>
        <w:rPr>
          <w:rFonts w:cstheme="minorHAnsi"/>
        </w:rPr>
      </w:pPr>
    </w:p>
    <w:p w14:paraId="02AB72D1" w14:textId="05F99636" w:rsidR="00136856" w:rsidRPr="005E47B1" w:rsidRDefault="00136856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lastRenderedPageBreak/>
        <w:t xml:space="preserve">Pro obnovení </w:t>
      </w:r>
      <w:r w:rsidR="00AA2F04" w:rsidRPr="005E47B1">
        <w:rPr>
          <w:rFonts w:cstheme="minorHAnsi"/>
        </w:rPr>
        <w:t xml:space="preserve">hlasových </w:t>
      </w:r>
      <w:r w:rsidRPr="005E47B1">
        <w:rPr>
          <w:rFonts w:cstheme="minorHAnsi"/>
        </w:rPr>
        <w:t>služ</w:t>
      </w:r>
      <w:r w:rsidR="00AA2F04" w:rsidRPr="005E47B1">
        <w:rPr>
          <w:rFonts w:cstheme="minorHAnsi"/>
        </w:rPr>
        <w:t>e</w:t>
      </w:r>
      <w:r w:rsidRPr="005E47B1">
        <w:rPr>
          <w:rFonts w:cstheme="minorHAnsi"/>
        </w:rPr>
        <w:t>b</w:t>
      </w:r>
      <w:r w:rsidR="00AA2F04" w:rsidRPr="005E47B1">
        <w:rPr>
          <w:rFonts w:cstheme="minorHAnsi"/>
        </w:rPr>
        <w:t xml:space="preserve"> na připojené PBX</w:t>
      </w:r>
      <w:r w:rsidRPr="005E47B1">
        <w:rPr>
          <w:rFonts w:cstheme="minorHAnsi"/>
        </w:rPr>
        <w:t xml:space="preserve"> stanovuje zadavatel dobu 24 hodin jako maximální čas nepřetržitého trvání poruchy. Bude-li po uplynutí maximálního času, tj. po 24 hodin, dodavatel služby i nadále v</w:t>
      </w:r>
      <w:r w:rsidR="00D6468B" w:rsidRPr="005E47B1">
        <w:rPr>
          <w:rFonts w:cstheme="minorHAnsi"/>
        </w:rPr>
        <w:t> </w:t>
      </w:r>
      <w:r w:rsidRPr="005E47B1">
        <w:rPr>
          <w:rFonts w:cstheme="minorHAnsi"/>
        </w:rPr>
        <w:t>prodlení</w:t>
      </w:r>
      <w:r w:rsidR="00D6468B" w:rsidRPr="005E47B1">
        <w:rPr>
          <w:rFonts w:cstheme="minorHAnsi"/>
        </w:rPr>
        <w:t xml:space="preserve"> v odstranění poruchy</w:t>
      </w:r>
      <w:r w:rsidRPr="005E47B1">
        <w:rPr>
          <w:rFonts w:cstheme="minorHAnsi"/>
        </w:rPr>
        <w:t xml:space="preserve">, bude zadavatel uplatňovat smluvní pokutu ve výši </w:t>
      </w:r>
      <w:r w:rsidR="004E7A9F">
        <w:rPr>
          <w:rFonts w:cstheme="minorHAnsi"/>
        </w:rPr>
        <w:t>1</w:t>
      </w:r>
      <w:r w:rsidRPr="005E47B1">
        <w:rPr>
          <w:rFonts w:cstheme="minorHAnsi"/>
        </w:rPr>
        <w:t>000 Kč za každou další započatou hodinu trvání poruchy.</w:t>
      </w:r>
    </w:p>
    <w:p w14:paraId="06607028" w14:textId="77777777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Pro</w:t>
      </w:r>
      <w:r w:rsidR="004B48C1" w:rsidRPr="005E47B1">
        <w:rPr>
          <w:rFonts w:cstheme="minorHAnsi"/>
        </w:rPr>
        <w:t xml:space="preserve"> </w:t>
      </w:r>
      <w:r w:rsidRPr="005E47B1">
        <w:rPr>
          <w:rFonts w:cstheme="minorHAnsi"/>
        </w:rPr>
        <w:t xml:space="preserve">komunikaci při využívání veškerých služeb </w:t>
      </w:r>
      <w:r w:rsidR="00C62DE5" w:rsidRPr="005E47B1">
        <w:rPr>
          <w:rFonts w:cstheme="minorHAnsi"/>
        </w:rPr>
        <w:t xml:space="preserve">na připojení PBX </w:t>
      </w:r>
      <w:r w:rsidRPr="005E47B1">
        <w:rPr>
          <w:rFonts w:cstheme="minorHAnsi"/>
        </w:rPr>
        <w:t xml:space="preserve">bude po dobu trvání smlouvy </w:t>
      </w:r>
      <w:r w:rsidR="000C751D" w:rsidRPr="005E47B1">
        <w:rPr>
          <w:rFonts w:cstheme="minorHAnsi"/>
        </w:rPr>
        <w:t>k dispozici</w:t>
      </w:r>
      <w:r w:rsidRPr="005E47B1">
        <w:rPr>
          <w:rFonts w:cstheme="minorHAnsi"/>
        </w:rPr>
        <w:t>:</w:t>
      </w:r>
    </w:p>
    <w:p w14:paraId="3CBB52CD" w14:textId="77777777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a) obchodní zástupce pro jednání v místě sídla zadavatele</w:t>
      </w:r>
    </w:p>
    <w:p w14:paraId="796449A4" w14:textId="54B92B80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b)</w:t>
      </w:r>
      <w:r w:rsidR="004B48C1" w:rsidRPr="005E47B1">
        <w:rPr>
          <w:rFonts w:cstheme="minorHAnsi"/>
        </w:rPr>
        <w:t xml:space="preserve"> </w:t>
      </w:r>
      <w:r w:rsidRPr="005E47B1">
        <w:rPr>
          <w:rFonts w:cstheme="minorHAnsi"/>
        </w:rPr>
        <w:t xml:space="preserve">jediné centrální pracoviště zákaznické podpory, možnost zadávání požadavků e-mailem nebo </w:t>
      </w:r>
      <w:r w:rsidR="004E7A9F">
        <w:rPr>
          <w:rFonts w:cstheme="minorHAnsi"/>
        </w:rPr>
        <w:t>přes samoobslužný portál.</w:t>
      </w:r>
      <w:r w:rsidRPr="005E47B1">
        <w:rPr>
          <w:rFonts w:cstheme="minorHAnsi"/>
        </w:rPr>
        <w:t>,</w:t>
      </w:r>
    </w:p>
    <w:p w14:paraId="176A1EED" w14:textId="00321015" w:rsidR="00537A85" w:rsidRPr="00D05BBE" w:rsidRDefault="004B48C1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c) </w:t>
      </w:r>
      <w:r w:rsidR="00537A85" w:rsidRPr="005E47B1">
        <w:rPr>
          <w:rFonts w:cstheme="minorHAnsi"/>
        </w:rPr>
        <w:t xml:space="preserve">přístup k zadávání požadavků na </w:t>
      </w:r>
      <w:r w:rsidR="00504A90" w:rsidRPr="005E47B1">
        <w:rPr>
          <w:rFonts w:cstheme="minorHAnsi"/>
        </w:rPr>
        <w:t>Help Desk</w:t>
      </w:r>
      <w:r w:rsidR="00537A85" w:rsidRPr="005E47B1">
        <w:rPr>
          <w:rFonts w:cstheme="minorHAnsi"/>
        </w:rPr>
        <w:t xml:space="preserve"> operátora 24 hodin </w:t>
      </w:r>
      <w:r w:rsidR="00537A85" w:rsidRPr="00D05BBE">
        <w:rPr>
          <w:rFonts w:cstheme="minorHAnsi"/>
        </w:rPr>
        <w:t>denně, 7 dní v týdnu</w:t>
      </w:r>
    </w:p>
    <w:p w14:paraId="5D3137CC" w14:textId="08E5FB73" w:rsidR="00537A85" w:rsidRPr="005E47B1" w:rsidRDefault="00537A85" w:rsidP="00EE3C5F">
      <w:pPr>
        <w:jc w:val="both"/>
        <w:rPr>
          <w:rFonts w:cstheme="minorHAnsi"/>
        </w:rPr>
      </w:pPr>
      <w:r w:rsidRPr="00D05BBE">
        <w:rPr>
          <w:rFonts w:cstheme="minorHAnsi"/>
        </w:rPr>
        <w:t xml:space="preserve">K prokázání splnění tohoto požadavku </w:t>
      </w:r>
      <w:r w:rsidR="002A67B0">
        <w:rPr>
          <w:rFonts w:cstheme="minorHAnsi"/>
        </w:rPr>
        <w:t>dodavatel</w:t>
      </w:r>
      <w:r w:rsidRPr="00D05BBE">
        <w:rPr>
          <w:rFonts w:cstheme="minorHAnsi"/>
        </w:rPr>
        <w:t xml:space="preserve"> v nabídce popíše detailně způsob zákaznické podpory při poskytování služeb, který bude reflektovat výše uvedené požadavky zadavatele.</w:t>
      </w:r>
      <w:r w:rsidR="002523F9" w:rsidRPr="00D05BBE">
        <w:rPr>
          <w:rFonts w:cstheme="minorHAnsi"/>
        </w:rPr>
        <w:t xml:space="preserve"> </w:t>
      </w:r>
      <w:bookmarkStart w:id="1" w:name="_Hlk61336193"/>
      <w:r w:rsidR="008D59BC" w:rsidRPr="00D05BBE">
        <w:rPr>
          <w:rFonts w:cstheme="minorHAnsi"/>
        </w:rPr>
        <w:t xml:space="preserve">Tento popis se nachází na straně …(uvede dodavatel)…, v ustanovení …(uvede dodavatel)… nabídky </w:t>
      </w:r>
      <w:r w:rsidR="00962A54">
        <w:rPr>
          <w:rFonts w:cstheme="minorHAnsi"/>
        </w:rPr>
        <w:t>dodavatelem</w:t>
      </w:r>
      <w:r w:rsidR="002523F9" w:rsidRPr="00D05BBE">
        <w:rPr>
          <w:rFonts w:cstheme="minorHAnsi"/>
        </w:rPr>
        <w:t>.</w:t>
      </w:r>
      <w:bookmarkEnd w:id="1"/>
    </w:p>
    <w:p w14:paraId="443674CF" w14:textId="0204B6F0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požaduje, aby </w:t>
      </w:r>
      <w:r w:rsidR="00962A54">
        <w:rPr>
          <w:rFonts w:cstheme="minorHAnsi"/>
        </w:rPr>
        <w:t>dodavatel</w:t>
      </w:r>
      <w:r w:rsidRPr="005E47B1">
        <w:rPr>
          <w:rFonts w:cstheme="minorHAnsi"/>
        </w:rPr>
        <w:t xml:space="preserve"> ve své nabídce poskytl následující </w:t>
      </w:r>
      <w:r w:rsidR="002523F9" w:rsidRPr="005E47B1">
        <w:rPr>
          <w:rFonts w:cstheme="minorHAnsi"/>
        </w:rPr>
        <w:t>služby – za</w:t>
      </w:r>
      <w:r w:rsidRPr="005E47B1">
        <w:rPr>
          <w:rFonts w:cstheme="minorHAnsi"/>
        </w:rPr>
        <w:t xml:space="preserve"> maximální možný poplatek 1 Kč bez DPH:</w:t>
      </w:r>
    </w:p>
    <w:p w14:paraId="782C1205" w14:textId="77777777" w:rsidR="00537A85" w:rsidRPr="005E47B1" w:rsidRDefault="00537A85" w:rsidP="00EE3C5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5E47B1">
        <w:rPr>
          <w:rFonts w:cstheme="minorHAnsi"/>
        </w:rPr>
        <w:t>Změna fakturačních údajů</w:t>
      </w:r>
    </w:p>
    <w:p w14:paraId="4DBC4E70" w14:textId="77777777" w:rsidR="00537A85" w:rsidRPr="005E47B1" w:rsidRDefault="00537A85" w:rsidP="00EE3C5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5E47B1">
        <w:rPr>
          <w:rFonts w:cstheme="minorHAnsi"/>
        </w:rPr>
        <w:t xml:space="preserve">Detailní výpis hovorů v elektronické podobě (ve formátech </w:t>
      </w:r>
      <w:r w:rsidR="0095699F" w:rsidRPr="005E47B1">
        <w:rPr>
          <w:rFonts w:cstheme="minorHAnsi"/>
        </w:rPr>
        <w:t>*.</w:t>
      </w:r>
      <w:r w:rsidRPr="005E47B1">
        <w:rPr>
          <w:rFonts w:cstheme="minorHAnsi"/>
        </w:rPr>
        <w:t xml:space="preserve">html, </w:t>
      </w:r>
      <w:r w:rsidR="0095699F" w:rsidRPr="005E47B1">
        <w:rPr>
          <w:rFonts w:cstheme="minorHAnsi"/>
        </w:rPr>
        <w:t>*.</w:t>
      </w:r>
      <w:r w:rsidRPr="005E47B1">
        <w:rPr>
          <w:rFonts w:cstheme="minorHAnsi"/>
        </w:rPr>
        <w:t xml:space="preserve">pdf, </w:t>
      </w:r>
      <w:r w:rsidR="0095699F" w:rsidRPr="005E47B1">
        <w:rPr>
          <w:rFonts w:cstheme="minorHAnsi"/>
        </w:rPr>
        <w:t>*.</w:t>
      </w:r>
      <w:r w:rsidRPr="005E47B1">
        <w:rPr>
          <w:rFonts w:cstheme="minorHAnsi"/>
        </w:rPr>
        <w:t>csv)</w:t>
      </w:r>
    </w:p>
    <w:p w14:paraId="4C1A0C02" w14:textId="2FE5593D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požaduje, aby </w:t>
      </w:r>
      <w:r w:rsidR="00962A54">
        <w:rPr>
          <w:rFonts w:cstheme="minorHAnsi"/>
        </w:rPr>
        <w:t>dodavatel</w:t>
      </w:r>
      <w:r w:rsidRPr="005E47B1">
        <w:rPr>
          <w:rFonts w:cstheme="minorHAnsi"/>
        </w:rPr>
        <w:t xml:space="preserve"> ve své nabídce poskytl následující operátorské služby zcela zdarma:</w:t>
      </w:r>
    </w:p>
    <w:p w14:paraId="1E4B8318" w14:textId="77777777" w:rsidR="00537A85" w:rsidRPr="005E47B1" w:rsidRDefault="00537A85" w:rsidP="00EE3C5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5E47B1">
        <w:rPr>
          <w:rFonts w:cstheme="minorHAnsi"/>
        </w:rPr>
        <w:t>Spojení s operátorem</w:t>
      </w:r>
    </w:p>
    <w:p w14:paraId="51F0E571" w14:textId="77777777" w:rsidR="00537A85" w:rsidRPr="005E47B1" w:rsidRDefault="00537A85" w:rsidP="00EE3C5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5E47B1">
        <w:rPr>
          <w:rFonts w:cstheme="minorHAnsi"/>
        </w:rPr>
        <w:t>Hovor s operátorem</w:t>
      </w:r>
    </w:p>
    <w:p w14:paraId="219F02F5" w14:textId="77777777" w:rsidR="00537A85" w:rsidRPr="005E47B1" w:rsidRDefault="00537A85" w:rsidP="00EE3C5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5E47B1">
        <w:rPr>
          <w:rFonts w:cstheme="minorHAnsi"/>
        </w:rPr>
        <w:t>Hovor s pracovníkem servis desku</w:t>
      </w:r>
    </w:p>
    <w:p w14:paraId="6C4141D9" w14:textId="77777777" w:rsidR="00537A85" w:rsidRPr="005E47B1" w:rsidRDefault="00537A85" w:rsidP="00EE3C5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5E47B1">
        <w:rPr>
          <w:rFonts w:cstheme="minorHAnsi"/>
        </w:rPr>
        <w:t>Pro všechny uvedené v režimu 24/7.</w:t>
      </w:r>
    </w:p>
    <w:p w14:paraId="1E8821A9" w14:textId="04FBD671" w:rsidR="00C36CC7" w:rsidRPr="00181F45" w:rsidRDefault="00305A89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explicitně definuje následující seznam objektů, kde se striktně požaduje pokrytí </w:t>
      </w:r>
      <w:r w:rsidR="00656287">
        <w:rPr>
          <w:rFonts w:cstheme="minorHAnsi"/>
        </w:rPr>
        <w:t xml:space="preserve">v </w:t>
      </w:r>
      <w:r w:rsidR="002523F9" w:rsidRPr="005E47B1">
        <w:rPr>
          <w:rFonts w:cstheme="minorHAnsi"/>
        </w:rPr>
        <w:t xml:space="preserve">maximální možné </w:t>
      </w:r>
      <w:r w:rsidR="002523F9" w:rsidRPr="00181F45">
        <w:rPr>
          <w:rFonts w:cstheme="minorHAnsi"/>
        </w:rPr>
        <w:t xml:space="preserve">kvalitě, odpovídající nejmodernějším standardům komunikace prostřednictvím datových a hlasových služeb ve </w:t>
      </w:r>
      <w:r w:rsidRPr="00181F45">
        <w:rPr>
          <w:rFonts w:cstheme="minorHAnsi"/>
        </w:rPr>
        <w:t>vnějších i vnitřních prostor</w:t>
      </w:r>
      <w:r w:rsidR="002523F9" w:rsidRPr="00181F45">
        <w:rPr>
          <w:rFonts w:cstheme="minorHAnsi"/>
        </w:rPr>
        <w:t>ách</w:t>
      </w:r>
      <w:r w:rsidRPr="00181F45">
        <w:rPr>
          <w:rFonts w:cstheme="minorHAnsi"/>
        </w:rPr>
        <w:t xml:space="preserve"> signálem </w:t>
      </w:r>
      <w:r w:rsidR="00C62DE5" w:rsidRPr="00181F45">
        <w:rPr>
          <w:rFonts w:cstheme="minorHAnsi"/>
        </w:rPr>
        <w:t xml:space="preserve">mobilní sítě </w:t>
      </w:r>
      <w:r w:rsidR="00962A54">
        <w:rPr>
          <w:rFonts w:cstheme="minorHAnsi"/>
        </w:rPr>
        <w:t>dodavatele</w:t>
      </w:r>
      <w:r w:rsidRPr="00181F45">
        <w:rPr>
          <w:rFonts w:cstheme="minorHAnsi"/>
        </w:rPr>
        <w:t xml:space="preserve"> tak, aby mohl zadavatel bez omezení využívat všechny služby požadované v této zadávací dokumentaci. </w:t>
      </w:r>
      <w:r w:rsidR="00426B9F" w:rsidRPr="00181F45">
        <w:rPr>
          <w:rFonts w:cstheme="minorHAnsi"/>
        </w:rPr>
        <w:t>Nesplnění tohoto</w:t>
      </w:r>
      <w:r w:rsidRPr="00181F45">
        <w:rPr>
          <w:rFonts w:cstheme="minorHAnsi"/>
        </w:rPr>
        <w:t xml:space="preserve"> požadavku </w:t>
      </w:r>
      <w:r w:rsidR="004E7A9F" w:rsidRPr="00181F45">
        <w:rPr>
          <w:rFonts w:cstheme="minorHAnsi"/>
        </w:rPr>
        <w:t>implikuje nemožnost zadavatele služby využívat</w:t>
      </w:r>
      <w:r w:rsidR="00426B9F">
        <w:rPr>
          <w:rFonts w:cstheme="minorHAnsi"/>
        </w:rPr>
        <w:t xml:space="preserve"> a právo zadavatele na vypovězení smlouvy</w:t>
      </w:r>
      <w:r w:rsidR="004E7A9F" w:rsidRPr="00181F45">
        <w:rPr>
          <w:rFonts w:cstheme="minorHAnsi"/>
        </w:rPr>
        <w:t xml:space="preserve">. Zadavatel v takovém případě poskytovatele služeb </w:t>
      </w:r>
      <w:r w:rsidR="00FD2E95" w:rsidRPr="00181F45">
        <w:rPr>
          <w:rFonts w:cstheme="minorHAnsi"/>
        </w:rPr>
        <w:t xml:space="preserve">vyzve k řešení </w:t>
      </w:r>
      <w:r w:rsidR="004E7A9F" w:rsidRPr="00181F45">
        <w:rPr>
          <w:rFonts w:cstheme="minorHAnsi"/>
        </w:rPr>
        <w:t xml:space="preserve">pokrytí </w:t>
      </w:r>
      <w:r w:rsidR="00181F45" w:rsidRPr="00181F45">
        <w:rPr>
          <w:rFonts w:cstheme="minorHAnsi"/>
        </w:rPr>
        <w:t>problémových míst, kde je pro něj nezbytné služby zajistit</w:t>
      </w:r>
      <w:r w:rsidR="004E7A9F" w:rsidRPr="00181F45">
        <w:rPr>
          <w:rFonts w:cstheme="minorHAnsi"/>
        </w:rPr>
        <w:t xml:space="preserve">. </w:t>
      </w:r>
      <w:r w:rsidR="00181F45" w:rsidRPr="00181F45">
        <w:rPr>
          <w:rFonts w:cstheme="minorHAnsi"/>
        </w:rPr>
        <w:t xml:space="preserve">Smluvní strany budou společně hledat konsenzuální řešení v krátkodobém či </w:t>
      </w:r>
      <w:r w:rsidR="00426B9F">
        <w:rPr>
          <w:rFonts w:cstheme="minorHAnsi"/>
        </w:rPr>
        <w:t>středně</w:t>
      </w:r>
      <w:r w:rsidR="00181F45" w:rsidRPr="00181F45">
        <w:rPr>
          <w:rFonts w:cstheme="minorHAnsi"/>
        </w:rPr>
        <w:t>dobém horizontu</w:t>
      </w:r>
      <w:r w:rsidR="00426B9F">
        <w:rPr>
          <w:rFonts w:cstheme="minorHAnsi"/>
        </w:rPr>
        <w:t>, a to</w:t>
      </w:r>
      <w:r w:rsidR="00181F45" w:rsidRPr="00181F45">
        <w:rPr>
          <w:rFonts w:cstheme="minorHAnsi"/>
        </w:rPr>
        <w:t xml:space="preserve"> dle konkrétní situace. </w:t>
      </w:r>
      <w:r w:rsidR="00962A54">
        <w:rPr>
          <w:rFonts w:cstheme="minorHAnsi"/>
        </w:rPr>
        <w:t>Dodavatel</w:t>
      </w:r>
      <w:r w:rsidR="00C36CC7" w:rsidRPr="00181F45">
        <w:rPr>
          <w:rFonts w:cstheme="minorHAnsi"/>
        </w:rPr>
        <w:t xml:space="preserve"> je povinen zajistit fungování poskytovaných služeb včetně pokrytí signálem k</w:t>
      </w:r>
      <w:r w:rsidR="00426B9F">
        <w:rPr>
          <w:rFonts w:cstheme="minorHAnsi"/>
        </w:rPr>
        <w:t xml:space="preserve"> okamžiku nabytí </w:t>
      </w:r>
      <w:r w:rsidR="00C36CC7" w:rsidRPr="00181F45">
        <w:rPr>
          <w:rFonts w:cstheme="minorHAnsi"/>
        </w:rPr>
        <w:t>účinnosti smlouvy. Seznam objektů:</w:t>
      </w:r>
    </w:p>
    <w:p w14:paraId="678025BC" w14:textId="77777777" w:rsidR="00C36CC7" w:rsidRPr="00181F45" w:rsidRDefault="00C36CC7" w:rsidP="00EE3C5F">
      <w:pPr>
        <w:jc w:val="both"/>
        <w:rPr>
          <w:rFonts w:cstheme="minorHAnsi"/>
        </w:rPr>
      </w:pPr>
      <w:r w:rsidRPr="00181F45">
        <w:rPr>
          <w:rFonts w:cstheme="minorHAnsi"/>
        </w:rPr>
        <w:t xml:space="preserve">Ostrava – Poruba, </w:t>
      </w:r>
    </w:p>
    <w:p w14:paraId="3A34993B" w14:textId="77777777" w:rsidR="00C36CC7" w:rsidRPr="00181F45" w:rsidRDefault="00C36CC7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181F45">
        <w:rPr>
          <w:rFonts w:cstheme="minorHAnsi"/>
        </w:rPr>
        <w:t>17. listopadu 2172</w:t>
      </w:r>
      <w:r w:rsidR="004B48C1" w:rsidRPr="00181F45">
        <w:rPr>
          <w:rFonts w:cstheme="minorHAnsi"/>
        </w:rPr>
        <w:t>/15</w:t>
      </w:r>
    </w:p>
    <w:p w14:paraId="0EE7308C" w14:textId="77777777" w:rsidR="00C36CC7" w:rsidRPr="00181F45" w:rsidRDefault="00C36CC7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181F45">
        <w:rPr>
          <w:rFonts w:cstheme="minorHAnsi"/>
        </w:rPr>
        <w:t>Studentská 11</w:t>
      </w:r>
    </w:p>
    <w:p w14:paraId="563E229B" w14:textId="77777777" w:rsidR="00C36CC7" w:rsidRPr="00181F45" w:rsidRDefault="00C36CC7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181F45">
        <w:rPr>
          <w:rFonts w:cstheme="minorHAnsi"/>
        </w:rPr>
        <w:t>Studentská 6203/19</w:t>
      </w:r>
    </w:p>
    <w:p w14:paraId="28C2738B" w14:textId="77777777" w:rsidR="00C36CC7" w:rsidRPr="00181F45" w:rsidRDefault="00C36CC7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181F45">
        <w:rPr>
          <w:rFonts w:cstheme="minorHAnsi"/>
        </w:rPr>
        <w:t>Studentská 6202/17</w:t>
      </w:r>
    </w:p>
    <w:p w14:paraId="46D7702A" w14:textId="77777777" w:rsidR="00C36CC7" w:rsidRPr="00181F45" w:rsidRDefault="00C36CC7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181F45">
        <w:rPr>
          <w:rFonts w:cstheme="minorHAnsi"/>
        </w:rPr>
        <w:lastRenderedPageBreak/>
        <w:t>Ludvíka Podéště 17/1875</w:t>
      </w:r>
    </w:p>
    <w:p w14:paraId="42D6A773" w14:textId="77777777" w:rsidR="00C36CC7" w:rsidRPr="00181F45" w:rsidRDefault="00C36CC7" w:rsidP="00EE3C5F">
      <w:pPr>
        <w:jc w:val="both"/>
        <w:rPr>
          <w:rFonts w:cstheme="minorHAnsi"/>
        </w:rPr>
      </w:pPr>
      <w:r w:rsidRPr="00181F45">
        <w:rPr>
          <w:rFonts w:cstheme="minorHAnsi"/>
        </w:rPr>
        <w:t xml:space="preserve">Ostrava – Výškovice       </w:t>
      </w:r>
    </w:p>
    <w:p w14:paraId="3FE2B514" w14:textId="77777777" w:rsidR="00C36CC7" w:rsidRPr="00181F45" w:rsidRDefault="00C36CC7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181F45">
        <w:rPr>
          <w:rFonts w:cstheme="minorHAnsi"/>
        </w:rPr>
        <w:t>Lumírova 13/630</w:t>
      </w:r>
    </w:p>
    <w:p w14:paraId="774992FC" w14:textId="586EFF3C" w:rsidR="00983E19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požaduje </w:t>
      </w:r>
      <w:r w:rsidR="00AA2F04" w:rsidRPr="005E47B1">
        <w:rPr>
          <w:rFonts w:cstheme="minorHAnsi"/>
        </w:rPr>
        <w:t>na mobilních zařízeních tarifikaci</w:t>
      </w:r>
      <w:r w:rsidRPr="005E47B1">
        <w:rPr>
          <w:rFonts w:cstheme="minorHAnsi"/>
        </w:rPr>
        <w:t xml:space="preserve"> hovorů </w:t>
      </w:r>
      <w:r w:rsidR="00AA2F04" w:rsidRPr="005E47B1">
        <w:rPr>
          <w:rFonts w:cstheme="minorHAnsi"/>
        </w:rPr>
        <w:t xml:space="preserve">v režimu </w:t>
      </w:r>
      <w:r w:rsidRPr="005E47B1">
        <w:rPr>
          <w:rFonts w:cstheme="minorHAnsi"/>
        </w:rPr>
        <w:t xml:space="preserve">1+1, tj. </w:t>
      </w:r>
      <w:r w:rsidR="00983E19" w:rsidRPr="005E47B1">
        <w:rPr>
          <w:rFonts w:cstheme="minorHAnsi"/>
        </w:rPr>
        <w:t xml:space="preserve">po </w:t>
      </w:r>
      <w:r w:rsidR="00781390" w:rsidRPr="005E47B1">
        <w:rPr>
          <w:rFonts w:cstheme="minorHAnsi"/>
        </w:rPr>
        <w:t xml:space="preserve">sekundě </w:t>
      </w:r>
      <w:r w:rsidR="00983E19" w:rsidRPr="005E47B1">
        <w:rPr>
          <w:rFonts w:cstheme="minorHAnsi"/>
        </w:rPr>
        <w:t xml:space="preserve">od první </w:t>
      </w:r>
      <w:r w:rsidR="00781390" w:rsidRPr="005E47B1">
        <w:rPr>
          <w:rFonts w:cstheme="minorHAnsi"/>
        </w:rPr>
        <w:t xml:space="preserve">sekundě </w:t>
      </w:r>
      <w:r w:rsidR="00983E19" w:rsidRPr="005E47B1">
        <w:rPr>
          <w:rFonts w:cstheme="minorHAnsi"/>
        </w:rPr>
        <w:t>hovoru</w:t>
      </w:r>
      <w:r w:rsidR="00AA2F04" w:rsidRPr="005E47B1">
        <w:rPr>
          <w:rFonts w:cstheme="minorHAnsi"/>
        </w:rPr>
        <w:t xml:space="preserve"> v mobilní síti</w:t>
      </w:r>
      <w:r w:rsidR="00781390" w:rsidRPr="005E47B1">
        <w:rPr>
          <w:rFonts w:cstheme="minorHAnsi"/>
        </w:rPr>
        <w:t>,</w:t>
      </w:r>
      <w:r w:rsidR="00AA2F04" w:rsidRPr="005E47B1">
        <w:rPr>
          <w:rFonts w:cstheme="minorHAnsi"/>
        </w:rPr>
        <w:t xml:space="preserve"> s výjimkou mezinárodních hovorů, kde bude rež</w:t>
      </w:r>
      <w:r w:rsidR="004B48C1" w:rsidRPr="005E47B1">
        <w:rPr>
          <w:rFonts w:cstheme="minorHAnsi"/>
        </w:rPr>
        <w:t>i</w:t>
      </w:r>
      <w:r w:rsidR="00AA2F04" w:rsidRPr="005E47B1">
        <w:rPr>
          <w:rFonts w:cstheme="minorHAnsi"/>
        </w:rPr>
        <w:t>m 60+1. Tento požadavek vychází ze současné praxe aplikované mobilními operátory.</w:t>
      </w:r>
    </w:p>
    <w:p w14:paraId="5C98BBC4" w14:textId="6778C468" w:rsidR="00704C9F" w:rsidRPr="005E47B1" w:rsidRDefault="00704C9F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Volání v rámci VPN mezi mobilními tel.</w:t>
      </w:r>
      <w:r w:rsidR="00EE3C5F" w:rsidRPr="005E47B1">
        <w:rPr>
          <w:rFonts w:cstheme="minorHAnsi"/>
        </w:rPr>
        <w:t xml:space="preserve"> </w:t>
      </w:r>
      <w:r w:rsidRPr="005E47B1">
        <w:rPr>
          <w:rFonts w:cstheme="minorHAnsi"/>
        </w:rPr>
        <w:t xml:space="preserve">č. registrovanými u vybraného </w:t>
      </w:r>
      <w:r w:rsidR="00962A54">
        <w:rPr>
          <w:rFonts w:cstheme="minorHAnsi"/>
        </w:rPr>
        <w:t>dodavatele</w:t>
      </w:r>
      <w:r w:rsidRPr="005E47B1">
        <w:rPr>
          <w:rFonts w:cstheme="minorHAnsi"/>
        </w:rPr>
        <w:t xml:space="preserve"> na IČ zadavatele nebude zpoplatněno a rovněž nebude zpoplatněno ani volání z výše zmíněných tel.</w:t>
      </w:r>
      <w:r w:rsidR="00EE3C5F" w:rsidRPr="005E47B1">
        <w:rPr>
          <w:rFonts w:cstheme="minorHAnsi"/>
        </w:rPr>
        <w:t xml:space="preserve"> </w:t>
      </w:r>
      <w:r w:rsidRPr="005E47B1">
        <w:rPr>
          <w:rFonts w:cstheme="minorHAnsi"/>
        </w:rPr>
        <w:t>č. na pobočky připojené PBX přes provolby 59699 a 59732 zadavatele (</w:t>
      </w:r>
      <w:r w:rsidR="00962A54">
        <w:rPr>
          <w:rFonts w:cstheme="minorHAnsi"/>
        </w:rPr>
        <w:t>dodavatel</w:t>
      </w:r>
      <w:r w:rsidRPr="005E47B1">
        <w:rPr>
          <w:rFonts w:cstheme="minorHAnsi"/>
        </w:rPr>
        <w:t xml:space="preserve"> zahrne náklady do pravidelných měsíčních paušálních poplatků</w:t>
      </w:r>
      <w:r w:rsidR="00D25ADF" w:rsidRPr="005E47B1">
        <w:rPr>
          <w:rFonts w:cstheme="minorHAnsi"/>
        </w:rPr>
        <w:t xml:space="preserve"> za mobilní služby</w:t>
      </w:r>
      <w:r w:rsidRPr="005E47B1">
        <w:rPr>
          <w:rFonts w:cstheme="minorHAnsi"/>
        </w:rPr>
        <w:t>).</w:t>
      </w:r>
    </w:p>
    <w:p w14:paraId="71E27993" w14:textId="77777777" w:rsidR="00A97023" w:rsidRPr="005E47B1" w:rsidRDefault="00A97023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Zadavatel požaduje:</w:t>
      </w:r>
    </w:p>
    <w:p w14:paraId="185EF018" w14:textId="2682E75F" w:rsidR="00537A85" w:rsidRPr="005E47B1" w:rsidRDefault="00537A85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 xml:space="preserve">možnost zařazení jednotlivých SIM karet do fakturačních skupin odpovídající organizační struktuře zadavatele </w:t>
      </w:r>
      <w:r w:rsidR="001332E3" w:rsidRPr="005E47B1">
        <w:rPr>
          <w:rFonts w:cstheme="minorHAnsi"/>
        </w:rPr>
        <w:t xml:space="preserve">a změnu v zařazení zdarma </w:t>
      </w:r>
      <w:r w:rsidRPr="005E47B1">
        <w:rPr>
          <w:rFonts w:cstheme="minorHAnsi"/>
        </w:rPr>
        <w:t>(zařazení jednotlivých SIM karet do skupin bude upřesněno před podpisem</w:t>
      </w:r>
      <w:r w:rsidR="001332E3" w:rsidRPr="005E47B1">
        <w:rPr>
          <w:rFonts w:cstheme="minorHAnsi"/>
        </w:rPr>
        <w:t xml:space="preserve"> smlouvy s vybraných </w:t>
      </w:r>
      <w:r w:rsidR="00962A54">
        <w:rPr>
          <w:rFonts w:cstheme="minorHAnsi"/>
        </w:rPr>
        <w:t>dodavatel</w:t>
      </w:r>
      <w:r w:rsidR="001332E3" w:rsidRPr="005E47B1">
        <w:rPr>
          <w:rFonts w:cstheme="minorHAnsi"/>
        </w:rPr>
        <w:t>em),</w:t>
      </w:r>
    </w:p>
    <w:p w14:paraId="0D2D8D95" w14:textId="77777777" w:rsidR="00A97023" w:rsidRPr="005E47B1" w:rsidRDefault="00A97023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flexibilní změny</w:t>
      </w:r>
      <w:r w:rsidR="00537A85" w:rsidRPr="005E47B1">
        <w:rPr>
          <w:rFonts w:cstheme="minorHAnsi"/>
        </w:rPr>
        <w:t xml:space="preserve"> SIM karet ve skupinách (přechod SIM mezi skupinami, příchod nové</w:t>
      </w:r>
      <w:r w:rsidRPr="005E47B1">
        <w:rPr>
          <w:rFonts w:cstheme="minorHAnsi"/>
        </w:rPr>
        <w:t xml:space="preserve"> </w:t>
      </w:r>
      <w:r w:rsidR="00537A85" w:rsidRPr="005E47B1">
        <w:rPr>
          <w:rFonts w:cstheme="minorHAnsi"/>
        </w:rPr>
        <w:t>SIM nebo odchod staré SIM mimo uživatele) zdarma,</w:t>
      </w:r>
    </w:p>
    <w:p w14:paraId="279D3DD6" w14:textId="77777777" w:rsidR="00D25ADF" w:rsidRPr="005E47B1" w:rsidRDefault="00D25ADF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změny mezi vysoutěženými</w:t>
      </w:r>
      <w:r w:rsidR="004B48C1" w:rsidRPr="005E47B1">
        <w:rPr>
          <w:rFonts w:cstheme="minorHAnsi"/>
        </w:rPr>
        <w:t xml:space="preserve"> </w:t>
      </w:r>
      <w:r w:rsidRPr="005E47B1">
        <w:rPr>
          <w:rFonts w:cstheme="minorHAnsi"/>
        </w:rPr>
        <w:t>tarify zdarma,</w:t>
      </w:r>
    </w:p>
    <w:p w14:paraId="5659F0C4" w14:textId="3FB4CCCE" w:rsidR="00537A85" w:rsidRPr="005E47B1" w:rsidRDefault="00A97023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výměnu</w:t>
      </w:r>
      <w:r w:rsidR="00537A85" w:rsidRPr="005E47B1">
        <w:rPr>
          <w:rFonts w:cstheme="minorHAnsi"/>
        </w:rPr>
        <w:t xml:space="preserve"> SIM karty v případě ztráty nebo potřeby novější verze</w:t>
      </w:r>
      <w:r w:rsidRPr="005E47B1">
        <w:rPr>
          <w:rFonts w:cstheme="minorHAnsi"/>
        </w:rPr>
        <w:t xml:space="preserve"> </w:t>
      </w:r>
      <w:r w:rsidR="00537A85" w:rsidRPr="005E47B1">
        <w:rPr>
          <w:rFonts w:cstheme="minorHAnsi"/>
        </w:rPr>
        <w:t>SIM karty zdarma.</w:t>
      </w:r>
    </w:p>
    <w:p w14:paraId="5376679E" w14:textId="57A6D7FA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</w:t>
      </w:r>
      <w:r w:rsidR="00AA2F04" w:rsidRPr="005E47B1">
        <w:rPr>
          <w:rFonts w:cstheme="minorHAnsi"/>
        </w:rPr>
        <w:t xml:space="preserve">pro mobilní telekomunikační služby rovněž </w:t>
      </w:r>
      <w:r w:rsidRPr="005E47B1">
        <w:rPr>
          <w:rFonts w:cstheme="minorHAnsi"/>
        </w:rPr>
        <w:t xml:space="preserve">požaduje poskytování nepřetržité zákaznické podpory (24 hodin denně, 7 dní v týdnu) pro zadávání řešení technických problémů na </w:t>
      </w:r>
      <w:r w:rsidR="002B7D0D" w:rsidRPr="005E47B1">
        <w:rPr>
          <w:rFonts w:cstheme="minorHAnsi"/>
        </w:rPr>
        <w:t>Help Desk</w:t>
      </w:r>
      <w:r w:rsidRPr="005E47B1">
        <w:rPr>
          <w:rFonts w:cstheme="minorHAnsi"/>
        </w:rPr>
        <w:t xml:space="preserve"> operátora (možnost nahlášení poruchy telefonicky, e-mailem </w:t>
      </w:r>
      <w:r w:rsidR="00EE3C5F" w:rsidRPr="005E47B1">
        <w:rPr>
          <w:rFonts w:cstheme="minorHAnsi"/>
        </w:rPr>
        <w:t>nebo přímý</w:t>
      </w:r>
      <w:r w:rsidRPr="005E47B1">
        <w:rPr>
          <w:rFonts w:cstheme="minorHAnsi"/>
        </w:rPr>
        <w:t xml:space="preserve"> přístup do rozhraní</w:t>
      </w:r>
      <w:r w:rsidR="00735D0D" w:rsidRPr="005E47B1">
        <w:rPr>
          <w:rFonts w:cstheme="minorHAnsi"/>
        </w:rPr>
        <w:t xml:space="preserve"> Help Desku</w:t>
      </w:r>
      <w:r w:rsidRPr="005E47B1">
        <w:rPr>
          <w:rFonts w:cstheme="minorHAnsi"/>
        </w:rPr>
        <w:t>) bez nutnosti instalace dalšího SW u zadavatele.</w:t>
      </w:r>
    </w:p>
    <w:p w14:paraId="0071FF21" w14:textId="59F0286F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Zadavatel požaduje rovněž poskytování podrobných výpisů z účtů a dalších údajů o využívání hlasových služeb exportovaných do elektronické podoby (jsou požadovány formáty *.xls nebo</w:t>
      </w:r>
      <w:r w:rsidR="003B5B07" w:rsidRPr="005E47B1">
        <w:rPr>
          <w:rFonts w:cstheme="minorHAnsi"/>
        </w:rPr>
        <w:t xml:space="preserve"> </w:t>
      </w:r>
      <w:r w:rsidR="00DB0663" w:rsidRPr="005E47B1">
        <w:rPr>
          <w:rFonts w:cstheme="minorHAnsi"/>
        </w:rPr>
        <w:t>*.txt nebo</w:t>
      </w:r>
      <w:r w:rsidRPr="005E47B1">
        <w:rPr>
          <w:rFonts w:cstheme="minorHAnsi"/>
        </w:rPr>
        <w:t xml:space="preserve"> internetový přístup k </w:t>
      </w:r>
      <w:r w:rsidR="00EE3C5F" w:rsidRPr="005E47B1">
        <w:rPr>
          <w:rFonts w:cstheme="minorHAnsi"/>
        </w:rPr>
        <w:t>těmto údajům</w:t>
      </w:r>
      <w:r w:rsidRPr="005E47B1">
        <w:rPr>
          <w:rFonts w:cstheme="minorHAnsi"/>
        </w:rPr>
        <w:t xml:space="preserve">), a to minimálně v </w:t>
      </w:r>
      <w:r w:rsidR="00EE3C5F" w:rsidRPr="005E47B1">
        <w:rPr>
          <w:rFonts w:cstheme="minorHAnsi"/>
        </w:rPr>
        <w:t>měsíčních intervalech</w:t>
      </w:r>
      <w:r w:rsidR="003B5B07" w:rsidRPr="005E47B1">
        <w:rPr>
          <w:rFonts w:cstheme="minorHAnsi"/>
        </w:rPr>
        <w:t xml:space="preserve"> </w:t>
      </w:r>
      <w:r w:rsidRPr="005E47B1">
        <w:rPr>
          <w:rFonts w:cstheme="minorHAnsi"/>
        </w:rPr>
        <w:t>s možností exportu dat až na jednotlivá čísla a jména uživatelů.</w:t>
      </w:r>
    </w:p>
    <w:p w14:paraId="30554997" w14:textId="20B12947" w:rsidR="00537A85" w:rsidRPr="005E47B1" w:rsidRDefault="009C3B73" w:rsidP="00EE3C5F">
      <w:pPr>
        <w:jc w:val="both"/>
        <w:rPr>
          <w:rFonts w:cstheme="minorHAnsi"/>
        </w:rPr>
      </w:pPr>
      <w:r>
        <w:rPr>
          <w:rFonts w:cstheme="minorHAnsi"/>
        </w:rPr>
        <w:t>Dodavatel</w:t>
      </w:r>
      <w:r w:rsidR="00537A85" w:rsidRPr="005E47B1">
        <w:rPr>
          <w:rFonts w:cstheme="minorHAnsi"/>
        </w:rPr>
        <w:t xml:space="preserve"> je</w:t>
      </w:r>
      <w:r w:rsidR="00EE3C5F" w:rsidRPr="005E47B1">
        <w:rPr>
          <w:rFonts w:cstheme="minorHAnsi"/>
        </w:rPr>
        <w:t xml:space="preserve"> </w:t>
      </w:r>
      <w:r w:rsidR="00537A85" w:rsidRPr="005E47B1">
        <w:rPr>
          <w:rFonts w:cstheme="minorHAnsi"/>
        </w:rPr>
        <w:t>povinen v nabídce uvést způsob komunikac</w:t>
      </w:r>
      <w:r w:rsidR="003B5B07" w:rsidRPr="005E47B1">
        <w:rPr>
          <w:rFonts w:cstheme="minorHAnsi"/>
        </w:rPr>
        <w:t xml:space="preserve">e se zaměstnanci zadavatele </w:t>
      </w:r>
      <w:r w:rsidR="00537A85" w:rsidRPr="005E47B1">
        <w:rPr>
          <w:rFonts w:cstheme="minorHAnsi"/>
        </w:rPr>
        <w:t xml:space="preserve">odpovědnými za podporu </w:t>
      </w:r>
      <w:r w:rsidR="003B5B07" w:rsidRPr="005E47B1">
        <w:rPr>
          <w:rFonts w:cstheme="minorHAnsi"/>
        </w:rPr>
        <w:t>mobilních služeb</w:t>
      </w:r>
      <w:r w:rsidR="00537A85" w:rsidRPr="005E47B1">
        <w:rPr>
          <w:rFonts w:cstheme="minorHAnsi"/>
        </w:rPr>
        <w:t>, popis nabízené zákaznické podpory (včetně internetového přístupu k nabídce služeb, nabídkám vybavení a zařízení, programům výhod atd.) a postupy v případě reklamací.</w:t>
      </w:r>
      <w:r w:rsidR="00FE011F" w:rsidRPr="005E47B1">
        <w:rPr>
          <w:rFonts w:cstheme="minorHAnsi"/>
        </w:rPr>
        <w:t xml:space="preserve"> </w:t>
      </w:r>
      <w:r w:rsidR="008D59BC" w:rsidRPr="005E47B1">
        <w:rPr>
          <w:rFonts w:cstheme="minorHAnsi"/>
        </w:rPr>
        <w:t xml:space="preserve">Tento popis se nachází na straně </w:t>
      </w:r>
      <w:r w:rsidR="008D59BC" w:rsidRPr="003F36C2">
        <w:rPr>
          <w:rFonts w:cstheme="minorHAnsi"/>
          <w:highlight w:val="yellow"/>
        </w:rPr>
        <w:t>…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(uvede dodavatel)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…</w:t>
      </w:r>
      <w:r w:rsidR="008D59BC" w:rsidRPr="005E47B1">
        <w:rPr>
          <w:rFonts w:cstheme="minorHAnsi"/>
        </w:rPr>
        <w:t xml:space="preserve">, v ustanovení </w:t>
      </w:r>
      <w:r w:rsidR="008D59BC" w:rsidRPr="003F36C2">
        <w:rPr>
          <w:rFonts w:cstheme="minorHAnsi"/>
          <w:highlight w:val="yellow"/>
        </w:rPr>
        <w:t>…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(uvede dodavatel)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…</w:t>
      </w:r>
      <w:r w:rsidR="008D59BC" w:rsidRPr="005E47B1">
        <w:rPr>
          <w:rFonts w:cstheme="minorHAnsi"/>
        </w:rPr>
        <w:t xml:space="preserve"> nabídky </w:t>
      </w:r>
      <w:r>
        <w:rPr>
          <w:rFonts w:cstheme="minorHAnsi"/>
        </w:rPr>
        <w:t>dodavatele</w:t>
      </w:r>
      <w:r w:rsidR="00FE011F" w:rsidRPr="005E47B1">
        <w:rPr>
          <w:rFonts w:cstheme="minorHAnsi"/>
        </w:rPr>
        <w:t>.</w:t>
      </w:r>
    </w:p>
    <w:p w14:paraId="52F4ECF6" w14:textId="1C14D414" w:rsidR="00537A85" w:rsidRPr="005E47B1" w:rsidRDefault="009C3B73" w:rsidP="00EE3C5F">
      <w:pPr>
        <w:jc w:val="both"/>
        <w:rPr>
          <w:rFonts w:cstheme="minorHAnsi"/>
        </w:rPr>
      </w:pPr>
      <w:r>
        <w:rPr>
          <w:rFonts w:cstheme="minorHAnsi"/>
        </w:rPr>
        <w:t>Dodavatel</w:t>
      </w:r>
      <w:r w:rsidR="00537A85" w:rsidRPr="005E47B1">
        <w:rPr>
          <w:rFonts w:cstheme="minorHAnsi"/>
        </w:rPr>
        <w:t xml:space="preserve"> je povinen uvést dobu doručení telekomunikačního zařízení zákazníkovi od okamžiku nahlášení požadavku, tj. doručení objednávky (</w:t>
      </w:r>
      <w:r>
        <w:rPr>
          <w:rFonts w:cstheme="minorHAnsi"/>
        </w:rPr>
        <w:t>dodavatel</w:t>
      </w:r>
      <w:r w:rsidR="00537A85" w:rsidRPr="005E47B1">
        <w:rPr>
          <w:rFonts w:cstheme="minorHAnsi"/>
        </w:rPr>
        <w:t xml:space="preserve"> uvede výhradně v hodinách).</w:t>
      </w:r>
      <w:r w:rsidR="00FE011F" w:rsidRPr="005E47B1">
        <w:rPr>
          <w:rFonts w:cstheme="minorHAnsi"/>
        </w:rPr>
        <w:t xml:space="preserve"> </w:t>
      </w:r>
      <w:r w:rsidR="008D59BC" w:rsidRPr="005E47B1">
        <w:rPr>
          <w:rFonts w:cstheme="minorHAnsi"/>
        </w:rPr>
        <w:t xml:space="preserve">Tento popis se nachází na straně </w:t>
      </w:r>
      <w:r w:rsidR="008D59BC" w:rsidRPr="003F36C2">
        <w:rPr>
          <w:rFonts w:cstheme="minorHAnsi"/>
          <w:highlight w:val="yellow"/>
        </w:rPr>
        <w:t>…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(uvede dodavatel)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…</w:t>
      </w:r>
      <w:r w:rsidR="008D59BC" w:rsidRPr="005E47B1">
        <w:rPr>
          <w:rFonts w:cstheme="minorHAnsi"/>
        </w:rPr>
        <w:t xml:space="preserve">, v ustanovení </w:t>
      </w:r>
      <w:r w:rsidR="008D59BC" w:rsidRPr="003F36C2">
        <w:rPr>
          <w:rFonts w:cstheme="minorHAnsi"/>
          <w:highlight w:val="yellow"/>
        </w:rPr>
        <w:t>…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(uvede dodavatel)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…</w:t>
      </w:r>
      <w:r w:rsidR="008D59BC" w:rsidRPr="005E47B1">
        <w:rPr>
          <w:rFonts w:cstheme="minorHAnsi"/>
        </w:rPr>
        <w:t xml:space="preserve"> nabídky </w:t>
      </w:r>
      <w:r>
        <w:rPr>
          <w:rFonts w:cstheme="minorHAnsi"/>
        </w:rPr>
        <w:t>dodavatele</w:t>
      </w:r>
      <w:r w:rsidR="00FE011F" w:rsidRPr="005E47B1">
        <w:rPr>
          <w:rFonts w:cstheme="minorHAnsi"/>
        </w:rPr>
        <w:t>.</w:t>
      </w:r>
    </w:p>
    <w:p w14:paraId="19338D2C" w14:textId="77777777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Zadavatel požaduje:</w:t>
      </w:r>
    </w:p>
    <w:p w14:paraId="69BB8D13" w14:textId="345DBCD0" w:rsidR="003B5B07" w:rsidRPr="005E47B1" w:rsidRDefault="003F36C2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 xml:space="preserve">možnost </w:t>
      </w:r>
      <w:r w:rsidRPr="005E47B1">
        <w:rPr>
          <w:rFonts w:cstheme="minorHAnsi"/>
        </w:rPr>
        <w:t>aktivace</w:t>
      </w:r>
      <w:r w:rsidR="00537A85" w:rsidRPr="005E47B1">
        <w:rPr>
          <w:rFonts w:cstheme="minorHAnsi"/>
        </w:rPr>
        <w:t xml:space="preserve"> SIM karty do 1 hodiny,</w:t>
      </w:r>
    </w:p>
    <w:p w14:paraId="76863CF2" w14:textId="32D045EB" w:rsidR="00537A85" w:rsidRPr="005E47B1" w:rsidRDefault="0090336F" w:rsidP="00EE3C5F">
      <w:pPr>
        <w:jc w:val="both"/>
        <w:rPr>
          <w:rFonts w:cstheme="minorHAnsi"/>
        </w:rPr>
      </w:pPr>
      <w:r>
        <w:rPr>
          <w:rFonts w:cstheme="minorHAnsi"/>
        </w:rPr>
        <w:lastRenderedPageBreak/>
        <w:t>Dodavatel</w:t>
      </w:r>
      <w:r w:rsidR="00537A85" w:rsidRPr="005E47B1">
        <w:rPr>
          <w:rFonts w:cstheme="minorHAnsi"/>
        </w:rPr>
        <w:t xml:space="preserve"> je povinen v nabídce uvést popis nabízené servisní podpory, splňující min. shora uvedené požadavky zadavatele.</w:t>
      </w:r>
      <w:r w:rsidR="00FE011F" w:rsidRPr="005E47B1">
        <w:rPr>
          <w:rFonts w:cstheme="minorHAnsi"/>
        </w:rPr>
        <w:t xml:space="preserve"> </w:t>
      </w:r>
      <w:r w:rsidR="008D59BC" w:rsidRPr="005E47B1">
        <w:rPr>
          <w:rFonts w:cstheme="minorHAnsi"/>
        </w:rPr>
        <w:t xml:space="preserve">Tento popis se nachází na straně </w:t>
      </w:r>
      <w:r w:rsidR="008D59BC" w:rsidRPr="003F36C2">
        <w:rPr>
          <w:rFonts w:cstheme="minorHAnsi"/>
          <w:highlight w:val="yellow"/>
        </w:rPr>
        <w:t>…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(uvede dodavatel)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…</w:t>
      </w:r>
      <w:r w:rsidR="008D59BC" w:rsidRPr="005E47B1">
        <w:rPr>
          <w:rFonts w:cstheme="minorHAnsi"/>
        </w:rPr>
        <w:t xml:space="preserve">, v ustanovení </w:t>
      </w:r>
      <w:r w:rsidR="008D59BC" w:rsidRPr="003F36C2">
        <w:rPr>
          <w:rFonts w:cstheme="minorHAnsi"/>
          <w:highlight w:val="yellow"/>
        </w:rPr>
        <w:t>…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(uvede dodavatel)</w:t>
      </w:r>
      <w:r w:rsidR="003F36C2" w:rsidRPr="003F36C2">
        <w:rPr>
          <w:rFonts w:cstheme="minorHAnsi"/>
          <w:highlight w:val="yellow"/>
        </w:rPr>
        <w:t xml:space="preserve"> </w:t>
      </w:r>
      <w:r w:rsidR="008D59BC" w:rsidRPr="003F36C2">
        <w:rPr>
          <w:rFonts w:cstheme="minorHAnsi"/>
          <w:highlight w:val="yellow"/>
        </w:rPr>
        <w:t>…</w:t>
      </w:r>
      <w:r w:rsidR="008D59BC" w:rsidRPr="005E47B1">
        <w:rPr>
          <w:rFonts w:cstheme="minorHAnsi"/>
        </w:rPr>
        <w:t xml:space="preserve"> nabídky </w:t>
      </w:r>
      <w:r>
        <w:rPr>
          <w:rFonts w:cstheme="minorHAnsi"/>
        </w:rPr>
        <w:t>dodavatele</w:t>
      </w:r>
      <w:r w:rsidR="00FE011F" w:rsidRPr="005E47B1">
        <w:rPr>
          <w:rFonts w:cstheme="minorHAnsi"/>
        </w:rPr>
        <w:t>.</w:t>
      </w:r>
    </w:p>
    <w:p w14:paraId="16DD093A" w14:textId="6FF908AB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požaduje zachování stávajících telefonních čísel. V případě, že zadáním této veřejné zakázky dojde ke změně mobilního operátora, zadavatel požaduje přenos stávajících účastnických čísel k novému operátorovi. Vybraný </w:t>
      </w:r>
      <w:r w:rsidR="0090336F">
        <w:rPr>
          <w:rFonts w:cstheme="minorHAnsi"/>
        </w:rPr>
        <w:t>dodavatel</w:t>
      </w:r>
      <w:r w:rsidRPr="005E47B1">
        <w:rPr>
          <w:rFonts w:cstheme="minorHAnsi"/>
        </w:rPr>
        <w:t xml:space="preserve"> zajistí transformaci stávajících účastnických čísel do vlastní sítě tak, aby byla zachována funkčnost </w:t>
      </w:r>
      <w:r w:rsidR="00975187" w:rsidRPr="005E47B1">
        <w:rPr>
          <w:rFonts w:cstheme="minorHAnsi"/>
        </w:rPr>
        <w:t xml:space="preserve">všech </w:t>
      </w:r>
      <w:r w:rsidRPr="005E47B1">
        <w:rPr>
          <w:rFonts w:cstheme="minorHAnsi"/>
        </w:rPr>
        <w:t>služeb.</w:t>
      </w:r>
    </w:p>
    <w:p w14:paraId="38B7AC8B" w14:textId="560D4A00" w:rsidR="00537A85" w:rsidRPr="005E47B1" w:rsidRDefault="0090336F" w:rsidP="00EE3C5F">
      <w:pPr>
        <w:jc w:val="both"/>
        <w:rPr>
          <w:rFonts w:cstheme="minorHAnsi"/>
        </w:rPr>
      </w:pPr>
      <w:r>
        <w:rPr>
          <w:rFonts w:cstheme="minorHAnsi"/>
        </w:rPr>
        <w:t>Dodavatel</w:t>
      </w:r>
      <w:r w:rsidR="00537A85" w:rsidRPr="005E47B1">
        <w:rPr>
          <w:rFonts w:cstheme="minorHAnsi"/>
        </w:rPr>
        <w:t xml:space="preserve"> v nabídce</w:t>
      </w:r>
      <w:r w:rsidR="00EE3C5F" w:rsidRPr="005E47B1">
        <w:rPr>
          <w:rFonts w:cstheme="minorHAnsi"/>
        </w:rPr>
        <w:t xml:space="preserve"> popíše </w:t>
      </w:r>
      <w:r w:rsidR="00537A85" w:rsidRPr="005E47B1">
        <w:rPr>
          <w:rFonts w:cstheme="minorHAnsi"/>
        </w:rPr>
        <w:t xml:space="preserve">konkrétní procedury a opatření související s </w:t>
      </w:r>
      <w:r w:rsidR="00EE3C5F" w:rsidRPr="005E47B1">
        <w:rPr>
          <w:rFonts w:cstheme="minorHAnsi"/>
        </w:rPr>
        <w:t>případnou změnou</w:t>
      </w:r>
      <w:r w:rsidR="00537A85" w:rsidRPr="005E47B1">
        <w:rPr>
          <w:rFonts w:cstheme="minorHAnsi"/>
        </w:rPr>
        <w:t xml:space="preserve"> mobilního operátora a přenosem stávajících účastnických čísel k novému operátorovi (migrace služeb). </w:t>
      </w:r>
      <w:r>
        <w:rPr>
          <w:rFonts w:cstheme="minorHAnsi"/>
        </w:rPr>
        <w:t>Dodavatel</w:t>
      </w:r>
      <w:r w:rsidR="00537A85" w:rsidRPr="005E47B1">
        <w:rPr>
          <w:rFonts w:cstheme="minorHAnsi"/>
        </w:rPr>
        <w:t xml:space="preserve"> je povinen v nabídce předložit harmonogram procedur a opatření spojených s přenosem stávajících čísel a bezproblémovým kontinuálním poskytováním mobilních telefonních služeb v případě změny mobilního operátora, a to v členění po dnech</w:t>
      </w:r>
      <w:r w:rsidR="00585613" w:rsidRPr="005E47B1">
        <w:rPr>
          <w:rFonts w:cstheme="minorHAnsi"/>
        </w:rPr>
        <w:t>.</w:t>
      </w:r>
      <w:r w:rsidR="00FE011F" w:rsidRPr="005E47B1">
        <w:rPr>
          <w:rFonts w:cstheme="minorHAnsi"/>
        </w:rPr>
        <w:t xml:space="preserve"> </w:t>
      </w:r>
      <w:r w:rsidR="008D59BC" w:rsidRPr="005E47B1">
        <w:rPr>
          <w:rFonts w:cstheme="minorHAnsi"/>
        </w:rPr>
        <w:t xml:space="preserve">Tento popis se nachází na straně </w:t>
      </w:r>
      <w:r w:rsidR="008D59BC" w:rsidRPr="006A6AE9">
        <w:rPr>
          <w:rFonts w:cstheme="minorHAnsi"/>
          <w:highlight w:val="yellow"/>
        </w:rPr>
        <w:t>…</w:t>
      </w:r>
      <w:r w:rsidR="006A6AE9" w:rsidRPr="006A6AE9">
        <w:rPr>
          <w:rFonts w:cstheme="minorHAnsi"/>
          <w:highlight w:val="yellow"/>
        </w:rPr>
        <w:t xml:space="preserve"> </w:t>
      </w:r>
      <w:r w:rsidR="008D59BC" w:rsidRPr="006A6AE9">
        <w:rPr>
          <w:rFonts w:cstheme="minorHAnsi"/>
          <w:highlight w:val="yellow"/>
        </w:rPr>
        <w:t>(uvede dodavatel)</w:t>
      </w:r>
      <w:r w:rsidR="006A6AE9" w:rsidRPr="006A6AE9">
        <w:rPr>
          <w:rFonts w:cstheme="minorHAnsi"/>
          <w:highlight w:val="yellow"/>
        </w:rPr>
        <w:t xml:space="preserve"> </w:t>
      </w:r>
      <w:r w:rsidR="008D59BC" w:rsidRPr="006A6AE9">
        <w:rPr>
          <w:rFonts w:cstheme="minorHAnsi"/>
          <w:highlight w:val="yellow"/>
        </w:rPr>
        <w:t>…</w:t>
      </w:r>
      <w:r w:rsidR="008D59BC" w:rsidRPr="005E47B1">
        <w:rPr>
          <w:rFonts w:cstheme="minorHAnsi"/>
        </w:rPr>
        <w:t xml:space="preserve">, v ustanovení </w:t>
      </w:r>
      <w:r w:rsidR="008D59BC" w:rsidRPr="006A6AE9">
        <w:rPr>
          <w:rFonts w:cstheme="minorHAnsi"/>
          <w:highlight w:val="yellow"/>
        </w:rPr>
        <w:t>…</w:t>
      </w:r>
      <w:r w:rsidR="006A6AE9" w:rsidRPr="006A6AE9">
        <w:rPr>
          <w:rFonts w:cstheme="minorHAnsi"/>
          <w:highlight w:val="yellow"/>
        </w:rPr>
        <w:t xml:space="preserve"> </w:t>
      </w:r>
      <w:r w:rsidR="008D59BC" w:rsidRPr="006A6AE9">
        <w:rPr>
          <w:rFonts w:cstheme="minorHAnsi"/>
          <w:highlight w:val="yellow"/>
        </w:rPr>
        <w:t>(uvede dodavatel)</w:t>
      </w:r>
      <w:r w:rsidR="006A6AE9" w:rsidRPr="006A6AE9">
        <w:rPr>
          <w:rFonts w:cstheme="minorHAnsi"/>
          <w:highlight w:val="yellow"/>
        </w:rPr>
        <w:t xml:space="preserve"> </w:t>
      </w:r>
      <w:r w:rsidR="008D59BC" w:rsidRPr="006A6AE9">
        <w:rPr>
          <w:rFonts w:cstheme="minorHAnsi"/>
          <w:highlight w:val="yellow"/>
        </w:rPr>
        <w:t>…</w:t>
      </w:r>
      <w:r w:rsidR="008D59BC" w:rsidRPr="005E47B1">
        <w:rPr>
          <w:rFonts w:cstheme="minorHAnsi"/>
        </w:rPr>
        <w:t xml:space="preserve"> nabídky </w:t>
      </w:r>
      <w:r>
        <w:rPr>
          <w:rFonts w:cstheme="minorHAnsi"/>
        </w:rPr>
        <w:t>dodavatele</w:t>
      </w:r>
      <w:r w:rsidR="00FE011F" w:rsidRPr="005E47B1">
        <w:rPr>
          <w:rFonts w:cstheme="minorHAnsi"/>
        </w:rPr>
        <w:t>.</w:t>
      </w:r>
    </w:p>
    <w:p w14:paraId="79632C5B" w14:textId="2B014C65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požaduje provedení této migrace </w:t>
      </w:r>
      <w:r w:rsidR="003B5B07" w:rsidRPr="005E47B1">
        <w:rPr>
          <w:rFonts w:cstheme="minorHAnsi"/>
        </w:rPr>
        <w:t>tak, aby s portac</w:t>
      </w:r>
      <w:r w:rsidR="002513CC" w:rsidRPr="005E47B1">
        <w:rPr>
          <w:rFonts w:cstheme="minorHAnsi"/>
        </w:rPr>
        <w:t>í</w:t>
      </w:r>
      <w:r w:rsidR="003B5B07" w:rsidRPr="005E47B1">
        <w:rPr>
          <w:rFonts w:cstheme="minorHAnsi"/>
        </w:rPr>
        <w:t xml:space="preserve"> celulárních čísel zadavateli </w:t>
      </w:r>
      <w:r w:rsidR="000C751D" w:rsidRPr="005E47B1">
        <w:rPr>
          <w:rFonts w:cstheme="minorHAnsi"/>
        </w:rPr>
        <w:t>nevznikly</w:t>
      </w:r>
      <w:r w:rsidR="003B5B07" w:rsidRPr="005E47B1">
        <w:rPr>
          <w:rFonts w:cstheme="minorHAnsi"/>
        </w:rPr>
        <w:t xml:space="preserve"> žádné další náklady, </w:t>
      </w:r>
      <w:r w:rsidR="00FA2590" w:rsidRPr="005E47B1">
        <w:rPr>
          <w:rFonts w:cstheme="minorHAnsi"/>
        </w:rPr>
        <w:t>pokud nebyly</w:t>
      </w:r>
      <w:r w:rsidR="003B5B07" w:rsidRPr="005E47B1">
        <w:rPr>
          <w:rFonts w:cstheme="minorHAnsi"/>
        </w:rPr>
        <w:t xml:space="preserve"> uvedeny v příloze </w:t>
      </w:r>
      <w:r w:rsidR="000C751D" w:rsidRPr="005E47B1">
        <w:rPr>
          <w:rFonts w:cstheme="minorHAnsi"/>
        </w:rPr>
        <w:t>č.</w:t>
      </w:r>
      <w:r w:rsidR="00AA2F04" w:rsidRPr="005E47B1">
        <w:rPr>
          <w:rFonts w:cstheme="minorHAnsi"/>
        </w:rPr>
        <w:t xml:space="preserve"> 2</w:t>
      </w:r>
      <w:r w:rsidR="003B5B07" w:rsidRPr="005E47B1">
        <w:rPr>
          <w:rFonts w:cstheme="minorHAnsi"/>
        </w:rPr>
        <w:t xml:space="preserve"> (</w:t>
      </w:r>
      <w:r w:rsidR="00AA2F04" w:rsidRPr="005E47B1">
        <w:rPr>
          <w:rFonts w:cstheme="minorHAnsi"/>
        </w:rPr>
        <w:t xml:space="preserve">náklady na migraci musí </w:t>
      </w:r>
      <w:r w:rsidR="00EE3C5F" w:rsidRPr="005E47B1">
        <w:rPr>
          <w:rFonts w:cstheme="minorHAnsi"/>
        </w:rPr>
        <w:t>být</w:t>
      </w:r>
      <w:r w:rsidR="00AA2F04" w:rsidRPr="005E47B1">
        <w:rPr>
          <w:rFonts w:cstheme="minorHAnsi"/>
        </w:rPr>
        <w:t xml:space="preserve"> již v ceně služeb poskytovaných vybraným </w:t>
      </w:r>
      <w:r w:rsidR="0090336F">
        <w:rPr>
          <w:rFonts w:cstheme="minorHAnsi"/>
        </w:rPr>
        <w:t>dodavatel</w:t>
      </w:r>
      <w:r w:rsidR="00AA2F04" w:rsidRPr="005E47B1">
        <w:rPr>
          <w:rFonts w:cstheme="minorHAnsi"/>
        </w:rPr>
        <w:t>em</w:t>
      </w:r>
      <w:r w:rsidR="003B5B07" w:rsidRPr="005E47B1">
        <w:rPr>
          <w:rFonts w:cstheme="minorHAnsi"/>
        </w:rPr>
        <w:t>).</w:t>
      </w:r>
    </w:p>
    <w:p w14:paraId="6CA9936B" w14:textId="77777777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 </w:t>
      </w:r>
      <w:r w:rsidR="000C751D" w:rsidRPr="005E47B1">
        <w:rPr>
          <w:rFonts w:cstheme="minorHAnsi"/>
        </w:rPr>
        <w:t xml:space="preserve">Zadavatel </w:t>
      </w:r>
      <w:r w:rsidR="00AA2F04" w:rsidRPr="005E47B1">
        <w:rPr>
          <w:rFonts w:cstheme="minorHAnsi"/>
        </w:rPr>
        <w:t xml:space="preserve">pro mobilní telekomunikační služby </w:t>
      </w:r>
      <w:r w:rsidR="000C751D" w:rsidRPr="005E47B1">
        <w:rPr>
          <w:rFonts w:cstheme="minorHAnsi"/>
        </w:rPr>
        <w:t xml:space="preserve">požaduje: </w:t>
      </w:r>
    </w:p>
    <w:p w14:paraId="40897385" w14:textId="77777777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Daňový doklad (fakturu) v elektronické podobě s tím, že podrobný výpis uskutečněných odchozích spojení na každou 1 SIM kartu v tištěné (listinné) podobě bude poskytnut pouze na vyžádání,</w:t>
      </w:r>
    </w:p>
    <w:p w14:paraId="742194B2" w14:textId="2EE41DE7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Poskytnutí podrobného výpisu všech odchozích spojení na každou jednu SIM kartu</w:t>
      </w:r>
      <w:r w:rsidR="003B5B07" w:rsidRPr="005E47B1">
        <w:rPr>
          <w:rFonts w:cstheme="minorHAnsi"/>
        </w:rPr>
        <w:t xml:space="preserve"> </w:t>
      </w:r>
      <w:r w:rsidRPr="005E47B1">
        <w:rPr>
          <w:rFonts w:cstheme="minorHAnsi"/>
        </w:rPr>
        <w:t xml:space="preserve">v elektronické podobě s tím, že každý výpis za ten který měsíc bude umístěn nejméně po dobu 2 měsíců na serveru </w:t>
      </w:r>
      <w:r w:rsidR="0090336F">
        <w:rPr>
          <w:rFonts w:cstheme="minorHAnsi"/>
        </w:rPr>
        <w:t>dodavatele</w:t>
      </w:r>
      <w:r w:rsidRPr="005E47B1">
        <w:rPr>
          <w:rFonts w:cstheme="minorHAnsi"/>
        </w:rPr>
        <w:t>, ke kterému musí mít pověřené osoby</w:t>
      </w:r>
      <w:r w:rsidR="00EE3C5F" w:rsidRPr="005E47B1">
        <w:rPr>
          <w:rFonts w:cstheme="minorHAnsi"/>
        </w:rPr>
        <w:t xml:space="preserve"> </w:t>
      </w:r>
      <w:r w:rsidRPr="005E47B1">
        <w:rPr>
          <w:rFonts w:cstheme="minorHAnsi"/>
        </w:rPr>
        <w:t>zadavatele zabezpečený přístup prostřednictvím veřejné sítě Internet.</w:t>
      </w:r>
    </w:p>
    <w:p w14:paraId="475279A2" w14:textId="0985CE35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Všechny elektronické výpisy musí být poskytnuty ve formátu PDF</w:t>
      </w:r>
      <w:r w:rsidR="002C4BD2">
        <w:rPr>
          <w:rFonts w:cstheme="minorHAnsi"/>
        </w:rPr>
        <w:t xml:space="preserve"> a dále v některém z editovatelných formátů jako CSV či XLSX</w:t>
      </w:r>
      <w:r w:rsidRPr="005E47B1">
        <w:rPr>
          <w:rFonts w:cstheme="minorHAnsi"/>
        </w:rPr>
        <w:t>.</w:t>
      </w:r>
    </w:p>
    <w:p w14:paraId="42111730" w14:textId="77777777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>Poskytnutí softwarového řešení, s jehož pomocí bude možné analyzovat užívanou mobilní telefonii, a to s možností min. následujících funkcí:</w:t>
      </w:r>
    </w:p>
    <w:p w14:paraId="24B37663" w14:textId="77777777" w:rsidR="00537A85" w:rsidRPr="005E47B1" w:rsidRDefault="00537A85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třídění fakturace za poskytnuté služby dle zadavatelem definovaných uživatelských skupin (jednotlivá oddělení apod.)</w:t>
      </w:r>
    </w:p>
    <w:p w14:paraId="13D187AA" w14:textId="77777777" w:rsidR="00537A85" w:rsidRPr="005E47B1" w:rsidRDefault="00537A85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zpracovávat detailní výpisy hovorů pro účely statistik nejčastěji volaných čísel apod.</w:t>
      </w:r>
    </w:p>
    <w:p w14:paraId="684E341C" w14:textId="7ED08DD6" w:rsidR="00537A85" w:rsidRPr="005E47B1" w:rsidRDefault="0090336F" w:rsidP="00EE3C5F">
      <w:pPr>
        <w:jc w:val="both"/>
        <w:rPr>
          <w:rFonts w:cstheme="minorHAnsi"/>
        </w:rPr>
      </w:pPr>
      <w:r>
        <w:rPr>
          <w:rFonts w:cstheme="minorHAnsi"/>
        </w:rPr>
        <w:t>Dodavatel</w:t>
      </w:r>
      <w:r w:rsidR="000C751D" w:rsidRPr="005E47B1">
        <w:rPr>
          <w:rFonts w:cstheme="minorHAnsi"/>
        </w:rPr>
        <w:t xml:space="preserve"> ve své nabídce detailně popíše způsob poskytování elektronických výpisů dle</w:t>
      </w:r>
      <w:r w:rsidR="00EE3C5F" w:rsidRPr="005E47B1">
        <w:rPr>
          <w:rFonts w:cstheme="minorHAnsi"/>
        </w:rPr>
        <w:t xml:space="preserve"> </w:t>
      </w:r>
      <w:r w:rsidR="000C751D" w:rsidRPr="005E47B1">
        <w:rPr>
          <w:rFonts w:cstheme="minorHAnsi"/>
        </w:rPr>
        <w:t>výše</w:t>
      </w:r>
      <w:r w:rsidR="00EE3C5F" w:rsidRPr="005E47B1">
        <w:rPr>
          <w:rFonts w:cstheme="minorHAnsi"/>
        </w:rPr>
        <w:t xml:space="preserve"> </w:t>
      </w:r>
      <w:r w:rsidR="000C751D" w:rsidRPr="005E47B1">
        <w:rPr>
          <w:rFonts w:cstheme="minorHAnsi"/>
        </w:rPr>
        <w:t xml:space="preserve">uvedených požadavků. </w:t>
      </w:r>
    </w:p>
    <w:p w14:paraId="1B320E96" w14:textId="371A5567" w:rsidR="00537A85" w:rsidRPr="005E47B1" w:rsidRDefault="00537A85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požaduje, aby </w:t>
      </w:r>
      <w:r w:rsidR="0090336F">
        <w:rPr>
          <w:rFonts w:cstheme="minorHAnsi"/>
        </w:rPr>
        <w:t>dodavatel</w:t>
      </w:r>
      <w:r w:rsidRPr="005E47B1">
        <w:rPr>
          <w:rFonts w:cstheme="minorHAnsi"/>
        </w:rPr>
        <w:t xml:space="preserve"> v</w:t>
      </w:r>
      <w:r w:rsidR="000C751D" w:rsidRPr="005E47B1">
        <w:rPr>
          <w:rFonts w:cstheme="minorHAnsi"/>
        </w:rPr>
        <w:t xml:space="preserve"> </w:t>
      </w:r>
      <w:r w:rsidRPr="005E47B1">
        <w:rPr>
          <w:rFonts w:cstheme="minorHAnsi"/>
        </w:rPr>
        <w:t>souladu se specifikací požadovaných služeb nabídl následu</w:t>
      </w:r>
      <w:r w:rsidR="000C751D" w:rsidRPr="005E47B1">
        <w:rPr>
          <w:rFonts w:cstheme="minorHAnsi"/>
        </w:rPr>
        <w:t>j</w:t>
      </w:r>
      <w:r w:rsidRPr="005E47B1">
        <w:rPr>
          <w:rFonts w:cstheme="minorHAnsi"/>
        </w:rPr>
        <w:t xml:space="preserve">ící služby zdarma: </w:t>
      </w:r>
    </w:p>
    <w:p w14:paraId="6A663FFF" w14:textId="77777777" w:rsidR="00537A85" w:rsidRPr="005E47B1" w:rsidRDefault="00537A85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změna fakturačních údajů,</w:t>
      </w:r>
    </w:p>
    <w:p w14:paraId="6FB1F99E" w14:textId="77777777" w:rsidR="00537A85" w:rsidRPr="005E47B1" w:rsidRDefault="00537A85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odpojení z důvodu krádeže,</w:t>
      </w:r>
    </w:p>
    <w:p w14:paraId="19C21664" w14:textId="77777777" w:rsidR="00537A85" w:rsidRPr="005E47B1" w:rsidRDefault="00537A85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odpojení telefonu – prázdniny,</w:t>
      </w:r>
    </w:p>
    <w:p w14:paraId="45E1B4B2" w14:textId="77777777" w:rsidR="00537A85" w:rsidRPr="005E47B1" w:rsidRDefault="00537A85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lastRenderedPageBreak/>
        <w:t>reaktivace po krádeži,</w:t>
      </w:r>
    </w:p>
    <w:p w14:paraId="7EDDFD9B" w14:textId="77777777" w:rsidR="00537A85" w:rsidRPr="005E47B1" w:rsidRDefault="00537A85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reaktivace po odpojení – prázdniny,</w:t>
      </w:r>
    </w:p>
    <w:p w14:paraId="2557278F" w14:textId="77777777" w:rsidR="00537A85" w:rsidRPr="005E47B1" w:rsidRDefault="00537A85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poplatek za elektronický podrobný výpis,</w:t>
      </w:r>
    </w:p>
    <w:p w14:paraId="1B95635B" w14:textId="77777777" w:rsidR="00537A85" w:rsidRPr="005E47B1" w:rsidRDefault="00537A85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E47B1">
        <w:rPr>
          <w:rFonts w:cstheme="minorHAnsi"/>
        </w:rPr>
        <w:t>výměna SIM karty (po krádeži, z důvodu zvýšení paměťové kapacity apod.).</w:t>
      </w:r>
    </w:p>
    <w:p w14:paraId="4D115BB2" w14:textId="6D447BB4" w:rsidR="00537A85" w:rsidRPr="005E47B1" w:rsidRDefault="002C4BD2" w:rsidP="00EE3C5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aktivace</w:t>
      </w:r>
      <w:r>
        <w:rPr>
          <w:rFonts w:cstheme="minorHAnsi"/>
          <w:lang w:val="en-US"/>
        </w:rPr>
        <w:t>/</w:t>
      </w:r>
      <w:r>
        <w:rPr>
          <w:rFonts w:cstheme="minorHAnsi"/>
        </w:rPr>
        <w:t>deaktivace</w:t>
      </w:r>
      <w:r w:rsidR="00537A85" w:rsidRPr="005E47B1">
        <w:rPr>
          <w:rFonts w:cstheme="minorHAnsi"/>
        </w:rPr>
        <w:t xml:space="preserve"> roamingových programů</w:t>
      </w:r>
    </w:p>
    <w:p w14:paraId="2DF79A00" w14:textId="667801FB" w:rsidR="007D0267" w:rsidRPr="005E47B1" w:rsidRDefault="00C36CC7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explicitně uvádí, že </w:t>
      </w:r>
      <w:r w:rsidR="0090336F">
        <w:rPr>
          <w:rFonts w:cstheme="minorHAnsi"/>
        </w:rPr>
        <w:t>dodavatel</w:t>
      </w:r>
      <w:r w:rsidRPr="005E47B1">
        <w:rPr>
          <w:rFonts w:cstheme="minorHAnsi"/>
        </w:rPr>
        <w:t xml:space="preserve"> nesmí </w:t>
      </w:r>
      <w:r w:rsidR="007D0267" w:rsidRPr="005E47B1">
        <w:rPr>
          <w:rFonts w:cstheme="minorHAnsi"/>
        </w:rPr>
        <w:t xml:space="preserve">nabízené </w:t>
      </w:r>
      <w:r w:rsidRPr="005E47B1">
        <w:rPr>
          <w:rFonts w:cstheme="minorHAnsi"/>
        </w:rPr>
        <w:t>cen</w:t>
      </w:r>
      <w:r w:rsidR="007D0267" w:rsidRPr="005E47B1">
        <w:rPr>
          <w:rFonts w:cstheme="minorHAnsi"/>
        </w:rPr>
        <w:t>y</w:t>
      </w:r>
      <w:r w:rsidRPr="005E47B1">
        <w:rPr>
          <w:rFonts w:cstheme="minorHAnsi"/>
        </w:rPr>
        <w:t xml:space="preserve"> služeb vázat na objem zakázky (minimální plnění).</w:t>
      </w:r>
      <w:r w:rsidR="007D0267" w:rsidRPr="005E47B1">
        <w:rPr>
          <w:rFonts w:cstheme="minorHAnsi"/>
        </w:rPr>
        <w:t xml:space="preserve"> </w:t>
      </w:r>
    </w:p>
    <w:p w14:paraId="0EDBBFC7" w14:textId="2C688786" w:rsidR="00983E19" w:rsidRPr="00D05BBE" w:rsidRDefault="00990F92" w:rsidP="00EE3C5F">
      <w:pPr>
        <w:jc w:val="both"/>
        <w:rPr>
          <w:rFonts w:cstheme="minorHAnsi"/>
        </w:rPr>
      </w:pPr>
      <w:r w:rsidRPr="005E47B1">
        <w:rPr>
          <w:rFonts w:cstheme="minorHAnsi"/>
        </w:rPr>
        <w:t xml:space="preserve">Zadavatel po </w:t>
      </w:r>
      <w:r w:rsidR="0090336F">
        <w:rPr>
          <w:rFonts w:cstheme="minorHAnsi"/>
        </w:rPr>
        <w:t>dodavateli</w:t>
      </w:r>
      <w:r w:rsidRPr="005E47B1">
        <w:rPr>
          <w:rFonts w:cstheme="minorHAnsi"/>
        </w:rPr>
        <w:t xml:space="preserve"> požaduje, </w:t>
      </w:r>
      <w:r w:rsidR="00EA755B" w:rsidRPr="005E47B1">
        <w:rPr>
          <w:rFonts w:cstheme="minorHAnsi"/>
        </w:rPr>
        <w:t>aby zadavateli</w:t>
      </w:r>
      <w:r w:rsidR="00983E19" w:rsidRPr="005E47B1">
        <w:rPr>
          <w:rFonts w:cstheme="minorHAnsi"/>
        </w:rPr>
        <w:t xml:space="preserve"> ve smlouvě </w:t>
      </w:r>
      <w:r w:rsidR="00DB0663" w:rsidRPr="005E47B1">
        <w:rPr>
          <w:rFonts w:cstheme="minorHAnsi"/>
        </w:rPr>
        <w:t xml:space="preserve">neukládal </w:t>
      </w:r>
      <w:r w:rsidR="00983E19" w:rsidRPr="005E47B1">
        <w:rPr>
          <w:rFonts w:cstheme="minorHAnsi"/>
        </w:rPr>
        <w:t xml:space="preserve">žádný závazek nepředpokládaný pro zadavatele zadávacími podmínkami nebo závazek, který při plnění veřejné zakázky nelze dovodit z platných </w:t>
      </w:r>
      <w:r w:rsidR="00DB0663" w:rsidRPr="005E47B1">
        <w:rPr>
          <w:rFonts w:cstheme="minorHAnsi"/>
        </w:rPr>
        <w:t xml:space="preserve">obecně závazných </w:t>
      </w:r>
      <w:r w:rsidR="00983E19" w:rsidRPr="005E47B1">
        <w:rPr>
          <w:rFonts w:cstheme="minorHAnsi"/>
        </w:rPr>
        <w:t xml:space="preserve">právních předpisů, </w:t>
      </w:r>
      <w:r w:rsidR="00983E19" w:rsidRPr="00D05BBE">
        <w:rPr>
          <w:rFonts w:cstheme="minorHAnsi"/>
        </w:rPr>
        <w:t xml:space="preserve">pravidel poctivého obchodního styku, resp. dobrých mravů. Návrh smlouvy nesmí obsahovat jiné sankce vůči zadavateli než takové, které vyplývají z obecně závazných právních předpisů a zadávací dokumentace. </w:t>
      </w:r>
    </w:p>
    <w:p w14:paraId="1F58FD9A" w14:textId="774A87EC" w:rsidR="00AA2F04" w:rsidRPr="005E47B1" w:rsidRDefault="00A97023" w:rsidP="00EE3C5F">
      <w:pPr>
        <w:jc w:val="both"/>
        <w:rPr>
          <w:rFonts w:cstheme="minorHAnsi"/>
        </w:rPr>
      </w:pPr>
      <w:r w:rsidRPr="00D05BBE">
        <w:rPr>
          <w:rFonts w:cstheme="minorHAnsi"/>
        </w:rPr>
        <w:t>Zadavatel požaduje</w:t>
      </w:r>
      <w:r w:rsidR="007043DA" w:rsidRPr="00D05BBE">
        <w:rPr>
          <w:rFonts w:cstheme="minorHAnsi"/>
        </w:rPr>
        <w:t xml:space="preserve"> </w:t>
      </w:r>
      <w:r w:rsidRPr="00D05BBE">
        <w:rPr>
          <w:rFonts w:cstheme="minorHAnsi"/>
        </w:rPr>
        <w:t xml:space="preserve">nacenit tarify dle </w:t>
      </w:r>
      <w:r w:rsidR="00FA2590" w:rsidRPr="00D05BBE">
        <w:rPr>
          <w:rFonts w:cstheme="minorHAnsi"/>
        </w:rPr>
        <w:t>p</w:t>
      </w:r>
      <w:r w:rsidRPr="00D05BBE">
        <w:rPr>
          <w:rFonts w:cstheme="minorHAnsi"/>
        </w:rPr>
        <w:t>řílohy č.</w:t>
      </w:r>
      <w:r w:rsidR="00AA2F04" w:rsidRPr="00D05BBE">
        <w:rPr>
          <w:rFonts w:cstheme="minorHAnsi"/>
        </w:rPr>
        <w:t xml:space="preserve"> 2</w:t>
      </w:r>
      <w:r w:rsidRPr="00D05BBE">
        <w:rPr>
          <w:rFonts w:cstheme="minorHAnsi"/>
        </w:rPr>
        <w:t>, a to bez časových</w:t>
      </w:r>
      <w:r w:rsidR="004B48C1" w:rsidRPr="00D05BBE">
        <w:rPr>
          <w:rFonts w:cstheme="minorHAnsi"/>
        </w:rPr>
        <w:t xml:space="preserve"> pásem. Tabulka v příloze č. 2 reflektuje záměry a predikce zadavatele v oblasti užívání mobilních služeb</w:t>
      </w:r>
      <w:r w:rsidR="009169FB" w:rsidRPr="00D05BBE">
        <w:rPr>
          <w:rFonts w:cstheme="minorHAnsi"/>
        </w:rPr>
        <w:t>.</w:t>
      </w:r>
    </w:p>
    <w:p w14:paraId="3405BB49" w14:textId="77777777" w:rsidR="00123FF0" w:rsidRPr="005E47B1" w:rsidRDefault="00123FF0" w:rsidP="00EE3C5F">
      <w:pPr>
        <w:jc w:val="both"/>
        <w:rPr>
          <w:rFonts w:cstheme="minorHAnsi"/>
        </w:rPr>
      </w:pPr>
    </w:p>
    <w:p w14:paraId="2962508E" w14:textId="77777777" w:rsidR="00D84C7D" w:rsidRPr="005E47B1" w:rsidRDefault="00D84C7D" w:rsidP="00D84C7D">
      <w:pPr>
        <w:jc w:val="both"/>
      </w:pPr>
      <w:r w:rsidRPr="005E47B1">
        <w:rPr>
          <w:u w:val="single"/>
        </w:rPr>
        <w:t>Současný stav:</w:t>
      </w:r>
      <w:r w:rsidRPr="005E47B1">
        <w:t xml:space="preserve"> </w:t>
      </w:r>
    </w:p>
    <w:p w14:paraId="0E3C7E35" w14:textId="54C11381" w:rsidR="002C4BD2" w:rsidRPr="00D05BBE" w:rsidRDefault="00D84C7D" w:rsidP="00D84C7D">
      <w:pPr>
        <w:jc w:val="both"/>
      </w:pPr>
      <w:r w:rsidRPr="005E47B1">
        <w:t xml:space="preserve">Vysoká škola báňská – Technická </w:t>
      </w:r>
      <w:r w:rsidRPr="00D05BBE">
        <w:t xml:space="preserve">univerzita Ostrava, dále také VŠB-TUO nebo zadavatel, má síť pobočkových ústředen o celkové kapacitě cca pět tisíc telefonních linek. </w:t>
      </w:r>
    </w:p>
    <w:p w14:paraId="3B3F5D7F" w14:textId="25B4A3F2" w:rsidR="002C4BD2" w:rsidRPr="00D05BBE" w:rsidRDefault="002C4BD2" w:rsidP="00D84C7D">
      <w:pPr>
        <w:jc w:val="both"/>
      </w:pPr>
      <w:bookmarkStart w:id="2" w:name="_Hlk221175450"/>
      <w:r w:rsidRPr="00D05BBE">
        <w:t xml:space="preserve">Propojení mezi vybraným poskytovatelem a sítí pobočkových ústředen zadavatele bude provedeno prostřednictvím SIP trunku </w:t>
      </w:r>
      <w:r w:rsidR="00FA2DE8" w:rsidRPr="00D05BBE">
        <w:t xml:space="preserve">logicky </w:t>
      </w:r>
      <w:r w:rsidRPr="00D05BBE">
        <w:t>ukončen</w:t>
      </w:r>
      <w:r w:rsidR="00FA2DE8" w:rsidRPr="00D05BBE">
        <w:t>ém</w:t>
      </w:r>
      <w:r w:rsidRPr="00D05BBE">
        <w:t xml:space="preserve"> na SBC (Op</w:t>
      </w:r>
      <w:r w:rsidR="00FA2DE8" w:rsidRPr="00D05BBE">
        <w:t>en</w:t>
      </w:r>
      <w:r w:rsidRPr="00D05BBE">
        <w:t xml:space="preserve">Scape </w:t>
      </w:r>
      <w:r w:rsidR="00FA2DE8" w:rsidRPr="00D05BBE">
        <w:t>Session Border Controller). Pro potřebnou IP konektivitu zadavatel požaduje, aby vybraný poskytovatel realizoval peering v NIX a byl součástí projektu FENIX</w:t>
      </w:r>
      <w:r w:rsidR="001C015B" w:rsidRPr="00D05BBE">
        <w:t xml:space="preserve">, alternativně může poskytovatel pro redundanci </w:t>
      </w:r>
      <w:r w:rsidR="00A02ECD" w:rsidRPr="00D05BBE">
        <w:t xml:space="preserve">realizovat </w:t>
      </w:r>
      <w:r w:rsidR="00FA2DE8" w:rsidRPr="00D05BBE">
        <w:t>přímý peering mezi AS (Autonomními systémy) v prostorách zadavatele.</w:t>
      </w:r>
    </w:p>
    <w:bookmarkEnd w:id="2"/>
    <w:p w14:paraId="4FE53132" w14:textId="058B61EB" w:rsidR="00D84C7D" w:rsidRPr="00D05BBE" w:rsidRDefault="00D84C7D" w:rsidP="00D84C7D">
      <w:pPr>
        <w:jc w:val="both"/>
        <w:rPr>
          <w:b/>
        </w:rPr>
      </w:pPr>
      <w:r w:rsidRPr="00D05BBE">
        <w:rPr>
          <w:b/>
        </w:rPr>
        <w:t>Pobočková ústředna zadavatele je ve společné privátní podnikové síti VPN zároveň se služebními m</w:t>
      </w:r>
      <w:r w:rsidR="00F21693" w:rsidRPr="00D05BBE">
        <w:rPr>
          <w:b/>
        </w:rPr>
        <w:t>o</w:t>
      </w:r>
      <w:r w:rsidRPr="00D05BBE">
        <w:rPr>
          <w:b/>
        </w:rPr>
        <w:t>bilními čísly, proto volání v rámci VPN není zpoplatněno.</w:t>
      </w:r>
    </w:p>
    <w:p w14:paraId="773996AB" w14:textId="77777777" w:rsidR="00D84C7D" w:rsidRPr="005E47B1" w:rsidRDefault="00D84C7D" w:rsidP="00D84C7D">
      <w:pPr>
        <w:jc w:val="both"/>
      </w:pPr>
      <w:r w:rsidRPr="00D05BBE">
        <w:t>Veškeré tarify PBX jsou nastaveny v režimu 1+1, účtuje se po je</w:t>
      </w:r>
      <w:r w:rsidRPr="005E47B1">
        <w:t>dné sekundě již od první sekundy.</w:t>
      </w:r>
    </w:p>
    <w:p w14:paraId="3C4F397D" w14:textId="77777777" w:rsidR="00D84C7D" w:rsidRPr="005E47B1" w:rsidRDefault="00D84C7D" w:rsidP="00D84C7D">
      <w:pPr>
        <w:jc w:val="both"/>
      </w:pPr>
      <w:r w:rsidRPr="005E47B1">
        <w:t>Dvě provolby (59699 a 59732) VŠB-TUO získala v době, kdy služby poskytovalo více operátorů, obě provolby jsou používány.</w:t>
      </w:r>
    </w:p>
    <w:p w14:paraId="595E9824" w14:textId="2CC9FAC8" w:rsidR="00D84C7D" w:rsidRDefault="00D84C7D" w:rsidP="00D84C7D">
      <w:pPr>
        <w:jc w:val="both"/>
      </w:pPr>
      <w:r>
        <w:t>Zadavatel poskytuje dodavatelům</w:t>
      </w:r>
      <w:r w:rsidRPr="00C83A94">
        <w:t xml:space="preserve"> pro přehled provozu z/do pobočkové ústředny VŠB-TUO analýzu objemů volání v</w:t>
      </w:r>
      <w:r>
        <w:t>e vzorovém měsíci</w:t>
      </w:r>
      <w:r w:rsidR="00A60D9A">
        <w:t xml:space="preserve"> 10/2025</w:t>
      </w:r>
      <w:r w:rsidRPr="00C83A94">
        <w:t>.</w:t>
      </w: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6220"/>
        <w:gridCol w:w="2040"/>
      </w:tblGrid>
      <w:tr w:rsidR="00D84C7D" w:rsidRPr="00C83A94" w14:paraId="3FDA3399" w14:textId="77777777" w:rsidTr="00B0347F">
        <w:trPr>
          <w:trHeight w:val="402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E033A1" w14:textId="77777777" w:rsidR="00D84C7D" w:rsidRPr="00C83A94" w:rsidRDefault="00D84C7D" w:rsidP="00B0347F">
            <w:pPr>
              <w:jc w:val="both"/>
              <w:rPr>
                <w:b/>
                <w:bCs/>
                <w:color w:val="000000"/>
              </w:rPr>
            </w:pPr>
            <w:r w:rsidRPr="00C83A94">
              <w:rPr>
                <w:b/>
                <w:bCs/>
                <w:color w:val="000000"/>
              </w:rPr>
              <w:t xml:space="preserve">PBX VŠB-TUO: provoz za </w:t>
            </w:r>
            <w:r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298B84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objem minut</w:t>
            </w:r>
          </w:p>
        </w:tc>
      </w:tr>
      <w:tr w:rsidR="00D84C7D" w:rsidRPr="00C83A94" w14:paraId="46321A76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5CF5" w14:textId="3A5142A5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v rámci ČR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FDD2" w14:textId="26E7D7B3" w:rsidR="00D84C7D" w:rsidRPr="00C83A94" w:rsidRDefault="00947416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A11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374</w:t>
            </w:r>
          </w:p>
        </w:tc>
      </w:tr>
      <w:tr w:rsidR="00D84C7D" w:rsidRPr="00C83A94" w14:paraId="3C2D0266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90F8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terminace mezinárodní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32F7" w14:textId="142486DF" w:rsidR="00D84C7D" w:rsidRPr="00C83A94" w:rsidRDefault="00947416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</w:tr>
    </w:tbl>
    <w:p w14:paraId="4160AC54" w14:textId="77777777" w:rsidR="00D84C7D" w:rsidRPr="00C83A94" w:rsidRDefault="00D84C7D" w:rsidP="00D84C7D">
      <w:pPr>
        <w:jc w:val="both"/>
      </w:pPr>
    </w:p>
    <w:p w14:paraId="7A689138" w14:textId="5BA68ED7" w:rsidR="00D84C7D" w:rsidRPr="00C83A94" w:rsidRDefault="00D84C7D" w:rsidP="00D84C7D">
      <w:pPr>
        <w:spacing w:after="240"/>
        <w:jc w:val="both"/>
      </w:pPr>
      <w:r w:rsidRPr="00C83A94">
        <w:lastRenderedPageBreak/>
        <w:t xml:space="preserve">Mobilní hlasové a datové služby jsou v </w:t>
      </w:r>
      <w:r>
        <w:t xml:space="preserve">současné </w:t>
      </w:r>
      <w:r w:rsidRPr="00C83A94">
        <w:t>době zajišťovány společností T-Mobile Czech, a.s., a to na základě</w:t>
      </w:r>
      <w:r>
        <w:t xml:space="preserve"> realizované</w:t>
      </w:r>
      <w:r w:rsidRPr="00C83A94">
        <w:t xml:space="preserve"> veřejné zakázky z roku 20</w:t>
      </w:r>
      <w:r w:rsidR="00E77BEC">
        <w:t>22</w:t>
      </w:r>
      <w:r w:rsidRPr="00C83A94">
        <w:t xml:space="preserve">. Za </w:t>
      </w:r>
      <w:r>
        <w:t xml:space="preserve">vzorový měsíc </w:t>
      </w:r>
      <w:r w:rsidRPr="00C83A94">
        <w:t>byla provedena analýza provozu na SIM kartách služebních mobilních přístrojů zadavatele. Objemy služeb na těchto SIM kartách jsou rozklíčovány níže.</w:t>
      </w:r>
    </w:p>
    <w:tbl>
      <w:tblPr>
        <w:tblW w:w="8260" w:type="dxa"/>
        <w:tblInd w:w="88" w:type="dxa"/>
        <w:tblLook w:val="04A0" w:firstRow="1" w:lastRow="0" w:firstColumn="1" w:lastColumn="0" w:noHBand="0" w:noVBand="1"/>
      </w:tblPr>
      <w:tblGrid>
        <w:gridCol w:w="6220"/>
        <w:gridCol w:w="2040"/>
      </w:tblGrid>
      <w:tr w:rsidR="00D84C7D" w:rsidRPr="00C83A94" w14:paraId="2FFADBC5" w14:textId="77777777" w:rsidTr="00B0347F">
        <w:trPr>
          <w:trHeight w:val="735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8980D47" w14:textId="77777777" w:rsidR="00D84C7D" w:rsidRPr="00C83A94" w:rsidRDefault="00D84C7D" w:rsidP="00B0347F">
            <w:pPr>
              <w:jc w:val="both"/>
              <w:rPr>
                <w:b/>
                <w:bCs/>
                <w:color w:val="000000"/>
              </w:rPr>
            </w:pPr>
            <w:r w:rsidRPr="00C83A94">
              <w:rPr>
                <w:b/>
                <w:bCs/>
                <w:color w:val="000000"/>
              </w:rPr>
              <w:t xml:space="preserve">Hlasové služby z mobilních telefonů VŠB-TUO za </w:t>
            </w:r>
            <w:r>
              <w:rPr>
                <w:b/>
                <w:bCs/>
                <w:color w:val="000000"/>
              </w:rPr>
              <w:t>vzorový měsíc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42210E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objem minut</w:t>
            </w:r>
          </w:p>
        </w:tc>
      </w:tr>
      <w:tr w:rsidR="00D84C7D" w:rsidRPr="00C83A94" w14:paraId="36ABCCB0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EB8F" w14:textId="42681104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v rámci VPN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A25F" w14:textId="1737D8EF" w:rsidR="00D84C7D" w:rsidRPr="00C83A94" w:rsidRDefault="00A02ECD" w:rsidP="00B0347F">
            <w:pPr>
              <w:spacing w:after="8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23 246</w:t>
            </w:r>
          </w:p>
        </w:tc>
      </w:tr>
      <w:tr w:rsidR="00D84C7D" w:rsidRPr="00C83A94" w14:paraId="755FA7B6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2A67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do sítě TM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92C0" w14:textId="548A182C" w:rsidR="00D84C7D" w:rsidRPr="00C83A94" w:rsidRDefault="00D84C7D" w:rsidP="00B0347F">
            <w:pPr>
              <w:spacing w:after="8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02ECD">
              <w:rPr>
                <w:color w:val="000000"/>
              </w:rPr>
              <w:t>0 840</w:t>
            </w:r>
          </w:p>
        </w:tc>
      </w:tr>
      <w:tr w:rsidR="00D84C7D" w:rsidRPr="00C83A94" w14:paraId="668D8E6C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FAC2" w14:textId="12355DA9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 xml:space="preserve">do </w:t>
            </w:r>
            <w:r w:rsidR="00A02ECD">
              <w:rPr>
                <w:color w:val="000000"/>
              </w:rPr>
              <w:t>ostatních sítí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D83D" w14:textId="2456DC89" w:rsidR="00D84C7D" w:rsidRPr="00C83A94" w:rsidRDefault="00A02ECD" w:rsidP="00B0347F">
            <w:pPr>
              <w:spacing w:after="80"/>
              <w:jc w:val="both"/>
              <w:rPr>
                <w:color w:val="000000"/>
              </w:rPr>
            </w:pPr>
            <w:r>
              <w:rPr>
                <w:color w:val="000000"/>
              </w:rPr>
              <w:t>50 800</w:t>
            </w:r>
          </w:p>
        </w:tc>
      </w:tr>
      <w:tr w:rsidR="00D84C7D" w:rsidRPr="00C83A94" w14:paraId="7B2755A8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1057" w14:textId="335739D4" w:rsidR="00D84C7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EU volání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9C84" w14:textId="34524D7D" w:rsidR="00D84C7D" w:rsidRPr="00C83A94" w:rsidRDefault="00A02ECD" w:rsidP="00B0347F">
            <w:pPr>
              <w:spacing w:after="80"/>
              <w:jc w:val="both"/>
              <w:rPr>
                <w:color w:val="000000"/>
              </w:rPr>
            </w:pPr>
            <w:r>
              <w:rPr>
                <w:color w:val="000000"/>
              </w:rPr>
              <w:t>2 400</w:t>
            </w:r>
          </w:p>
        </w:tc>
      </w:tr>
      <w:tr w:rsidR="00D84C7D" w:rsidRPr="00C83A94" w14:paraId="567FF89D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C3692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65DFA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</w:p>
        </w:tc>
      </w:tr>
      <w:tr w:rsidR="00D84C7D" w:rsidRPr="00C83A94" w14:paraId="7E8E9A7A" w14:textId="77777777" w:rsidTr="00B0347F">
        <w:trPr>
          <w:trHeight w:val="735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671931A" w14:textId="77777777" w:rsidR="00D84C7D" w:rsidRPr="00C83A94" w:rsidRDefault="00D84C7D" w:rsidP="00B0347F">
            <w:pPr>
              <w:jc w:val="both"/>
              <w:rPr>
                <w:b/>
                <w:bCs/>
                <w:color w:val="000000"/>
              </w:rPr>
            </w:pPr>
            <w:r w:rsidRPr="00C83A94">
              <w:rPr>
                <w:b/>
                <w:bCs/>
                <w:color w:val="000000"/>
              </w:rPr>
              <w:t xml:space="preserve">SMS z mobilních telefonů VŠB-TUO za </w:t>
            </w:r>
            <w:r>
              <w:rPr>
                <w:b/>
                <w:bCs/>
                <w:color w:val="000000"/>
              </w:rPr>
              <w:t>vzorový měsíc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E250DC8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počet kusů</w:t>
            </w:r>
          </w:p>
        </w:tc>
      </w:tr>
      <w:tr w:rsidR="00D84C7D" w:rsidRPr="00C83A94" w14:paraId="2D429560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3EF2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odeslaných SMS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90DF" w14:textId="54737539" w:rsidR="00D84C7D" w:rsidRPr="00C83A94" w:rsidRDefault="00D84C7D" w:rsidP="00B0347F">
            <w:pPr>
              <w:spacing w:after="8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02ECD">
              <w:rPr>
                <w:color w:val="000000"/>
              </w:rPr>
              <w:t>0 800</w:t>
            </w:r>
          </w:p>
        </w:tc>
      </w:tr>
      <w:tr w:rsidR="00D84C7D" w:rsidRPr="00C83A94" w14:paraId="5DE30A73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363C1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69A1C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</w:p>
        </w:tc>
      </w:tr>
      <w:tr w:rsidR="00D84C7D" w:rsidRPr="00C83A94" w14:paraId="0E18D498" w14:textId="77777777" w:rsidTr="00B0347F">
        <w:trPr>
          <w:trHeight w:val="735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A14C0C1" w14:textId="77777777" w:rsidR="00D84C7D" w:rsidRPr="00C83A94" w:rsidRDefault="00D84C7D" w:rsidP="00B0347F">
            <w:pPr>
              <w:jc w:val="both"/>
              <w:rPr>
                <w:b/>
                <w:bCs/>
                <w:color w:val="000000"/>
              </w:rPr>
            </w:pPr>
            <w:r w:rsidRPr="00C83A94">
              <w:rPr>
                <w:b/>
                <w:bCs/>
                <w:color w:val="000000"/>
              </w:rPr>
              <w:t xml:space="preserve">Internet z mobilních telefonů VŠB-TUO za </w:t>
            </w:r>
            <w:r>
              <w:rPr>
                <w:b/>
                <w:bCs/>
                <w:color w:val="000000"/>
              </w:rPr>
              <w:t>vzorový měsíc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933AA4B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objem MB</w:t>
            </w:r>
          </w:p>
        </w:tc>
      </w:tr>
      <w:tr w:rsidR="00D84C7D" w:rsidRPr="00C83A94" w14:paraId="3581DCDD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7A6C" w14:textId="77777777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Internet ČR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6BB5" w14:textId="6C64EA1D" w:rsidR="00D84C7D" w:rsidRPr="00C83A94" w:rsidRDefault="00A02ECD" w:rsidP="00B0347F">
            <w:pPr>
              <w:spacing w:after="80"/>
              <w:jc w:val="both"/>
              <w:rPr>
                <w:color w:val="000000"/>
              </w:rPr>
            </w:pPr>
            <w:r>
              <w:rPr>
                <w:color w:val="000000"/>
              </w:rPr>
              <w:t>2 298 493</w:t>
            </w:r>
          </w:p>
        </w:tc>
      </w:tr>
      <w:tr w:rsidR="00D84C7D" w:rsidRPr="00C83A94" w14:paraId="34331221" w14:textId="77777777" w:rsidTr="00B0347F">
        <w:trPr>
          <w:trHeight w:val="402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85" w14:textId="567A0449" w:rsidR="00D84C7D" w:rsidRPr="00C83A94" w:rsidRDefault="00D84C7D" w:rsidP="00B0347F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Internet roaming</w:t>
            </w:r>
            <w:r w:rsidR="00A02ECD">
              <w:rPr>
                <w:color w:val="000000"/>
              </w:rPr>
              <w:t xml:space="preserve"> EU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67FC" w14:textId="767655A4" w:rsidR="00D84C7D" w:rsidRPr="00C83A94" w:rsidRDefault="00A02ECD" w:rsidP="00B0347F">
            <w:pPr>
              <w:spacing w:after="80"/>
              <w:jc w:val="both"/>
              <w:rPr>
                <w:color w:val="000000"/>
              </w:rPr>
            </w:pPr>
            <w:r>
              <w:rPr>
                <w:color w:val="000000"/>
              </w:rPr>
              <w:t>217 589</w:t>
            </w:r>
          </w:p>
        </w:tc>
      </w:tr>
    </w:tbl>
    <w:p w14:paraId="264B3ED4" w14:textId="77777777" w:rsidR="00D84C7D" w:rsidRDefault="00D84C7D" w:rsidP="00D84C7D">
      <w:pPr>
        <w:jc w:val="both"/>
      </w:pPr>
    </w:p>
    <w:p w14:paraId="2FB5FF64" w14:textId="77777777" w:rsidR="00D84C7D" w:rsidRPr="00C83A94" w:rsidRDefault="00D84C7D" w:rsidP="00D84C7D">
      <w:pPr>
        <w:jc w:val="both"/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701"/>
        <w:gridCol w:w="5245"/>
      </w:tblGrid>
      <w:tr w:rsidR="00D84C7D" w:rsidRPr="00C83A94" w14:paraId="7B9ABDDC" w14:textId="77777777" w:rsidTr="00B0347F">
        <w:trPr>
          <w:trHeight w:val="40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1377E4" w14:textId="77777777" w:rsidR="00D84C7D" w:rsidRPr="00C83A94" w:rsidRDefault="00D84C7D" w:rsidP="00B0347F">
            <w:pPr>
              <w:jc w:val="both"/>
              <w:rPr>
                <w:b/>
                <w:bCs/>
                <w:color w:val="000000"/>
              </w:rPr>
            </w:pPr>
            <w:r w:rsidRPr="00C83A94">
              <w:rPr>
                <w:b/>
                <w:bCs/>
                <w:color w:val="000000"/>
              </w:rPr>
              <w:t>Tarify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EB5A7E" w14:textId="77777777" w:rsidR="00D84C7D" w:rsidRPr="00C83A94" w:rsidRDefault="00D84C7D" w:rsidP="00B0347F">
            <w:pPr>
              <w:jc w:val="both"/>
              <w:rPr>
                <w:b/>
                <w:bCs/>
                <w:color w:val="000000"/>
              </w:rPr>
            </w:pPr>
            <w:r w:rsidRPr="00C83A94">
              <w:rPr>
                <w:b/>
                <w:bCs/>
                <w:color w:val="000000"/>
              </w:rPr>
              <w:t>počet ks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4FB6692" w14:textId="77777777" w:rsidR="00D84C7D" w:rsidRPr="00C83A94" w:rsidRDefault="00D84C7D" w:rsidP="00B0347F">
            <w:pPr>
              <w:jc w:val="both"/>
              <w:rPr>
                <w:b/>
                <w:bCs/>
                <w:color w:val="000000"/>
              </w:rPr>
            </w:pPr>
            <w:r w:rsidRPr="00C83A94">
              <w:rPr>
                <w:b/>
                <w:bCs/>
                <w:color w:val="000000"/>
              </w:rPr>
              <w:t>popis tarifu</w:t>
            </w:r>
          </w:p>
        </w:tc>
      </w:tr>
      <w:tr w:rsidR="00D84C7D" w:rsidRPr="00C83A94" w14:paraId="151273E9" w14:textId="77777777" w:rsidTr="00FD2E95">
        <w:trPr>
          <w:trHeight w:val="40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A46B" w14:textId="34C05F34" w:rsidR="00D84C7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Tarif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94AF" w14:textId="531113A6" w:rsidR="00D84C7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6C222" w14:textId="512BA544" w:rsidR="00D84C7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Minutový tarif s FUP 500 MB </w:t>
            </w:r>
          </w:p>
        </w:tc>
      </w:tr>
      <w:tr w:rsidR="00A02ECD" w:rsidRPr="00C83A94" w14:paraId="33CE5323" w14:textId="77777777" w:rsidTr="00B0347F">
        <w:trPr>
          <w:trHeight w:val="40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DEBBD" w14:textId="5EC683EF" w:rsidR="00A02EC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Tarif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A247" w14:textId="30D971D0" w:rsidR="00A02ECD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57DB" w14:textId="0A334343" w:rsidR="00A02ECD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Minutový tarif s FUP 3 GB</w:t>
            </w:r>
          </w:p>
        </w:tc>
      </w:tr>
      <w:tr w:rsidR="00A02ECD" w:rsidRPr="00C83A94" w14:paraId="3954C294" w14:textId="77777777" w:rsidTr="00B0347F">
        <w:trPr>
          <w:trHeight w:val="40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8FBA3" w14:textId="1EE6A45A" w:rsidR="00A02EC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Tarif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A718E" w14:textId="1D410918" w:rsidR="00A02ECD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35084" w14:textId="16F8F5B4" w:rsidR="00A02ECD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Neomezené volání a SMS s FUP 5 GB </w:t>
            </w:r>
          </w:p>
        </w:tc>
      </w:tr>
      <w:tr w:rsidR="00A02ECD" w:rsidRPr="00C83A94" w14:paraId="7F0DFA83" w14:textId="77777777" w:rsidTr="00B0347F">
        <w:trPr>
          <w:trHeight w:val="40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8572" w14:textId="2717EF2B" w:rsidR="00A02ECD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Tarif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95516" w14:textId="16C0A182" w:rsidR="00A02ECD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EB56" w14:textId="066FE11F" w:rsidR="00A02ECD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Neomezené volání a SMS s FUP 20 GB </w:t>
            </w:r>
          </w:p>
        </w:tc>
      </w:tr>
      <w:tr w:rsidR="00A02ECD" w:rsidRPr="00C83A94" w14:paraId="571582C4" w14:textId="77777777" w:rsidTr="00B0347F">
        <w:trPr>
          <w:trHeight w:val="40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3E9F8" w14:textId="1FF8F72A" w:rsidR="00A02ECD" w:rsidRPr="00C83A94" w:rsidRDefault="00A02ECD" w:rsidP="00A02ECD">
            <w:pPr>
              <w:jc w:val="both"/>
              <w:rPr>
                <w:color w:val="000000"/>
              </w:rPr>
            </w:pPr>
            <w:r w:rsidRPr="00C83A94">
              <w:rPr>
                <w:color w:val="000000"/>
              </w:rPr>
              <w:t>Internet</w:t>
            </w:r>
            <w:r>
              <w:rPr>
                <w:color w:val="000000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D5C" w14:textId="2D2EB71D" w:rsidR="00A02ECD" w:rsidRDefault="00A02ECD" w:rsidP="00A02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2DA17" w14:textId="7433977E" w:rsidR="00A02ECD" w:rsidRDefault="00A02ECD" w:rsidP="00A02E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Samostatná mobilní datová SIM UNLIMITED</w:t>
            </w:r>
          </w:p>
        </w:tc>
      </w:tr>
      <w:tr w:rsidR="00D84C7D" w:rsidRPr="00C83A94" w14:paraId="1F3D00B6" w14:textId="77777777" w:rsidTr="00B0347F">
        <w:trPr>
          <w:trHeight w:val="40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7826" w14:textId="126FF301" w:rsidR="00D84C7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Internet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717" w14:textId="6BCA23E9" w:rsidR="00D84C7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E571" w14:textId="44D0847A" w:rsidR="00D84C7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Samostatná mobilní datová SIM s FUP 10 GB</w:t>
            </w:r>
          </w:p>
        </w:tc>
      </w:tr>
      <w:tr w:rsidR="00D84C7D" w:rsidRPr="00C83A94" w14:paraId="19EC53D4" w14:textId="77777777" w:rsidTr="00B0347F">
        <w:trPr>
          <w:trHeight w:val="40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105E3" w14:textId="0E770647" w:rsidR="00D84C7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Internet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B78AE" w14:textId="07388FFD" w:rsidR="00D84C7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1934A" w14:textId="1FF8873F" w:rsidR="00D84C7D" w:rsidRPr="00C83A94" w:rsidRDefault="00A02ECD" w:rsidP="00B034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Samostatná mobilní datová SIM s FUP 1,5 GB</w:t>
            </w:r>
          </w:p>
        </w:tc>
      </w:tr>
    </w:tbl>
    <w:p w14:paraId="518D7023" w14:textId="77777777" w:rsidR="00D84C7D" w:rsidRDefault="00D84C7D" w:rsidP="00D84C7D">
      <w:pPr>
        <w:pStyle w:val="Odstavecseseznamem"/>
        <w:spacing w:after="60"/>
        <w:ind w:left="0"/>
        <w:jc w:val="both"/>
        <w:rPr>
          <w:rFonts w:ascii="Times New Roman" w:hAnsi="Times New Roman"/>
        </w:rPr>
      </w:pPr>
    </w:p>
    <w:p w14:paraId="10801CA8" w14:textId="77777777" w:rsidR="001C015B" w:rsidRDefault="001C015B" w:rsidP="00EE3C5F">
      <w:pPr>
        <w:jc w:val="both"/>
        <w:rPr>
          <w:rFonts w:cstheme="minorHAnsi"/>
        </w:rPr>
      </w:pPr>
    </w:p>
    <w:p w14:paraId="06FF8AE6" w14:textId="3D2DB5E3" w:rsidR="001C015B" w:rsidRPr="00947416" w:rsidRDefault="00947416" w:rsidP="00EE3C5F">
      <w:pPr>
        <w:jc w:val="both"/>
        <w:rPr>
          <w:rFonts w:cstheme="minorHAnsi"/>
          <w:u w:val="single"/>
        </w:rPr>
      </w:pPr>
      <w:r w:rsidRPr="00947416">
        <w:rPr>
          <w:rFonts w:cstheme="minorHAnsi"/>
          <w:u w:val="single"/>
        </w:rPr>
        <w:t>Stav budoucí:</w:t>
      </w:r>
    </w:p>
    <w:p w14:paraId="63F24382" w14:textId="435322CB" w:rsidR="004216D9" w:rsidRDefault="004216D9" w:rsidP="00EE3C5F">
      <w:pPr>
        <w:jc w:val="both"/>
        <w:rPr>
          <w:rFonts w:cstheme="minorHAnsi"/>
        </w:rPr>
      </w:pPr>
      <w:r w:rsidRPr="001C015B">
        <w:rPr>
          <w:rFonts w:cstheme="minorHAnsi"/>
          <w:b/>
          <w:bCs/>
        </w:rPr>
        <w:t>Zadavatel požaduje</w:t>
      </w:r>
      <w:r w:rsidR="00F6216E" w:rsidRPr="001C015B">
        <w:rPr>
          <w:rFonts w:cstheme="minorHAnsi"/>
          <w:b/>
          <w:bCs/>
        </w:rPr>
        <w:t xml:space="preserve"> nacenit tarify dle přílohy č. 2</w:t>
      </w:r>
      <w:r w:rsidR="00E77BEC">
        <w:rPr>
          <w:rFonts w:cstheme="minorHAnsi"/>
        </w:rPr>
        <w:t xml:space="preserve"> </w:t>
      </w:r>
      <w:r w:rsidR="00F6216E">
        <w:rPr>
          <w:rFonts w:cstheme="minorHAnsi"/>
        </w:rPr>
        <w:t>obsahující pro PBX jednak volání v rámci ČR, terminace mezinárodní, hodnoceny budou tarify do okolních zemí. Dále jsou to mobilní tarify, kdy</w:t>
      </w:r>
      <w:r w:rsidR="00E77BEC">
        <w:rPr>
          <w:rFonts w:cstheme="minorHAnsi"/>
        </w:rPr>
        <w:t xml:space="preserve"> </w:t>
      </w:r>
      <w:r w:rsidR="00F6216E">
        <w:rPr>
          <w:rFonts w:cstheme="minorHAnsi"/>
        </w:rPr>
        <w:t>hodnotíme pouze tarify s datovými balíčky.</w:t>
      </w:r>
    </w:p>
    <w:p w14:paraId="43E50172" w14:textId="2E8180D8" w:rsidR="00F6216E" w:rsidRPr="00FF3D9A" w:rsidRDefault="00F6216E" w:rsidP="00F6216E">
      <w:pPr>
        <w:jc w:val="both"/>
        <w:rPr>
          <w:rFonts w:cstheme="minorHAnsi"/>
        </w:rPr>
      </w:pPr>
      <w:r w:rsidRPr="00F6216E">
        <w:rPr>
          <w:rFonts w:cstheme="minorHAnsi"/>
        </w:rPr>
        <w:t xml:space="preserve">1) </w:t>
      </w:r>
      <w:r>
        <w:rPr>
          <w:rFonts w:cstheme="minorHAnsi"/>
        </w:rPr>
        <w:t xml:space="preserve">VSB </w:t>
      </w:r>
      <w:r w:rsidR="00FF3D9A">
        <w:rPr>
          <w:rFonts w:cstheme="minorHAnsi"/>
        </w:rPr>
        <w:t>ECO -</w:t>
      </w:r>
      <w:r>
        <w:rPr>
          <w:rFonts w:cstheme="minorHAnsi"/>
        </w:rPr>
        <w:t xml:space="preserve"> 10 min., FUP 1,5 GB</w:t>
      </w:r>
      <w:r w:rsidR="00FF3D9A">
        <w:rPr>
          <w:rFonts w:cstheme="minorHAnsi"/>
        </w:rPr>
        <w:t xml:space="preserve"> (po vyčerpání snížení datového </w:t>
      </w:r>
      <w:r w:rsidR="00C912E3">
        <w:rPr>
          <w:rFonts w:cstheme="minorHAnsi"/>
        </w:rPr>
        <w:t>provozu &gt;</w:t>
      </w:r>
      <w:r w:rsidR="00FF3D9A">
        <w:rPr>
          <w:rFonts w:cstheme="minorHAnsi"/>
        </w:rPr>
        <w:t xml:space="preserve"> 2</w:t>
      </w:r>
      <w:r w:rsidR="000A1572">
        <w:rPr>
          <w:rFonts w:cstheme="minorHAnsi"/>
        </w:rPr>
        <w:t xml:space="preserve"> Mbit/s</w:t>
      </w:r>
      <w:r w:rsidR="00FF3D9A">
        <w:rPr>
          <w:rFonts w:cstheme="minorHAnsi"/>
        </w:rPr>
        <w:t>)</w:t>
      </w:r>
    </w:p>
    <w:p w14:paraId="553FB84F" w14:textId="575845DE" w:rsidR="00FF3D9A" w:rsidRPr="00FF3D9A" w:rsidRDefault="00F6216E" w:rsidP="00FF3D9A">
      <w:pPr>
        <w:jc w:val="both"/>
        <w:rPr>
          <w:rFonts w:cstheme="minorHAnsi"/>
        </w:rPr>
      </w:pPr>
      <w:r w:rsidRPr="00F6216E">
        <w:rPr>
          <w:rFonts w:cstheme="minorHAnsi"/>
        </w:rPr>
        <w:t xml:space="preserve">2) </w:t>
      </w:r>
      <w:r w:rsidR="000A1572">
        <w:rPr>
          <w:rFonts w:cstheme="minorHAnsi"/>
        </w:rPr>
        <w:t>VSB</w:t>
      </w:r>
      <w:r w:rsidRPr="00F6216E">
        <w:rPr>
          <w:rFonts w:cstheme="minorHAnsi"/>
        </w:rPr>
        <w:t xml:space="preserve"> </w:t>
      </w:r>
      <w:r w:rsidR="00FF3D9A">
        <w:rPr>
          <w:rFonts w:cstheme="minorHAnsi"/>
        </w:rPr>
        <w:t>BASIC</w:t>
      </w:r>
      <w:r w:rsidRPr="00F6216E">
        <w:rPr>
          <w:rFonts w:cstheme="minorHAnsi"/>
        </w:rPr>
        <w:t xml:space="preserve"> </w:t>
      </w:r>
      <w:r w:rsidR="00FF3D9A">
        <w:rPr>
          <w:rFonts w:cstheme="minorHAnsi"/>
        </w:rPr>
        <w:t xml:space="preserve">- </w:t>
      </w:r>
      <w:r w:rsidRPr="00F6216E">
        <w:rPr>
          <w:rFonts w:cstheme="minorHAnsi"/>
        </w:rPr>
        <w:t xml:space="preserve">30 minut, </w:t>
      </w:r>
      <w:r w:rsidR="00FF3D9A">
        <w:rPr>
          <w:rFonts w:cstheme="minorHAnsi"/>
        </w:rPr>
        <w:t xml:space="preserve">FUP </w:t>
      </w:r>
      <w:r w:rsidRPr="00F6216E">
        <w:rPr>
          <w:rFonts w:cstheme="minorHAnsi"/>
        </w:rPr>
        <w:t>5 GB</w:t>
      </w:r>
      <w:r w:rsidR="00FF3D9A">
        <w:rPr>
          <w:rFonts w:cstheme="minorHAnsi"/>
        </w:rPr>
        <w:t xml:space="preserve"> (po vyčerpání snížení datového provozu </w:t>
      </w:r>
      <w:r w:rsidR="00FF3D9A" w:rsidRPr="000B47F7">
        <w:rPr>
          <w:rFonts w:cstheme="minorHAnsi"/>
        </w:rPr>
        <w:t>&gt;</w:t>
      </w:r>
      <w:r w:rsidR="00FF3D9A">
        <w:rPr>
          <w:rFonts w:cstheme="minorHAnsi"/>
        </w:rPr>
        <w:t xml:space="preserve"> </w:t>
      </w:r>
      <w:r w:rsidR="001C015B">
        <w:rPr>
          <w:rFonts w:cstheme="minorHAnsi"/>
        </w:rPr>
        <w:t>3</w:t>
      </w:r>
      <w:r w:rsidR="000A1572">
        <w:rPr>
          <w:rFonts w:cstheme="minorHAnsi"/>
        </w:rPr>
        <w:t xml:space="preserve"> Mbit/s</w:t>
      </w:r>
      <w:r w:rsidR="00FF3D9A">
        <w:rPr>
          <w:rFonts w:cstheme="minorHAnsi"/>
        </w:rPr>
        <w:t>)</w:t>
      </w:r>
    </w:p>
    <w:p w14:paraId="3B61E213" w14:textId="54141070" w:rsidR="00FF3D9A" w:rsidRDefault="00FF3D9A" w:rsidP="00FF3D9A">
      <w:pPr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0A1572">
        <w:rPr>
          <w:rFonts w:cstheme="minorHAnsi"/>
        </w:rPr>
        <w:t>VSB</w:t>
      </w:r>
      <w:r>
        <w:rPr>
          <w:rFonts w:cstheme="minorHAnsi"/>
        </w:rPr>
        <w:t xml:space="preserve"> STANDARD </w:t>
      </w:r>
      <w:r w:rsidR="00426B9F">
        <w:rPr>
          <w:rFonts w:cstheme="minorHAnsi"/>
        </w:rPr>
        <w:t>– neomezené</w:t>
      </w:r>
      <w:r w:rsidR="00F6216E" w:rsidRPr="00F6216E">
        <w:rPr>
          <w:rFonts w:cstheme="minorHAnsi"/>
        </w:rPr>
        <w:t xml:space="preserve"> volání a SMS v ČR a EU</w:t>
      </w:r>
      <w:r>
        <w:rPr>
          <w:rFonts w:cstheme="minorHAnsi"/>
        </w:rPr>
        <w:t xml:space="preserve">, FUP 10 GB (po vyčerpání snížení datového provozu </w:t>
      </w:r>
      <w:r w:rsidRPr="000B47F7">
        <w:rPr>
          <w:rFonts w:cstheme="minorHAnsi"/>
        </w:rPr>
        <w:t>&gt;</w:t>
      </w:r>
      <w:r>
        <w:rPr>
          <w:rFonts w:cstheme="minorHAnsi"/>
        </w:rPr>
        <w:t xml:space="preserve"> </w:t>
      </w:r>
      <w:r w:rsidR="000A1572">
        <w:rPr>
          <w:rFonts w:cstheme="minorHAnsi"/>
        </w:rPr>
        <w:t>5</w:t>
      </w:r>
      <w:r>
        <w:rPr>
          <w:rFonts w:cstheme="minorHAnsi"/>
        </w:rPr>
        <w:t xml:space="preserve"> Mbit/s)</w:t>
      </w:r>
    </w:p>
    <w:p w14:paraId="1935ACC5" w14:textId="794A87E0" w:rsidR="00FF3D9A" w:rsidRDefault="00FF3D9A" w:rsidP="00FF3D9A">
      <w:pPr>
        <w:jc w:val="both"/>
        <w:rPr>
          <w:rFonts w:cstheme="minorHAnsi"/>
        </w:rPr>
      </w:pPr>
      <w:r>
        <w:rPr>
          <w:rFonts w:cstheme="minorHAnsi"/>
        </w:rPr>
        <w:t xml:space="preserve">4) </w:t>
      </w:r>
      <w:r w:rsidR="000A1572">
        <w:rPr>
          <w:rFonts w:cstheme="minorHAnsi"/>
        </w:rPr>
        <w:t>VSB</w:t>
      </w:r>
      <w:r>
        <w:rPr>
          <w:rFonts w:cstheme="minorHAnsi"/>
        </w:rPr>
        <w:t xml:space="preserve"> </w:t>
      </w:r>
      <w:r w:rsidR="000A1572">
        <w:rPr>
          <w:rFonts w:cstheme="minorHAnsi"/>
        </w:rPr>
        <w:t>COMFORT</w:t>
      </w:r>
      <w:r>
        <w:rPr>
          <w:rFonts w:cstheme="minorHAnsi"/>
        </w:rPr>
        <w:t xml:space="preserve"> - </w:t>
      </w:r>
      <w:r w:rsidRPr="00F6216E">
        <w:rPr>
          <w:rFonts w:cstheme="minorHAnsi"/>
        </w:rPr>
        <w:t>neomezené volání a SMS v ČR a EU</w:t>
      </w:r>
      <w:r>
        <w:rPr>
          <w:rFonts w:cstheme="minorHAnsi"/>
        </w:rPr>
        <w:t xml:space="preserve">, FUP 20 GB (po vyčerpání snížení datového provozu </w:t>
      </w:r>
      <w:r w:rsidRPr="000B47F7">
        <w:rPr>
          <w:rFonts w:cstheme="minorHAnsi"/>
        </w:rPr>
        <w:t>&gt;</w:t>
      </w:r>
      <w:r>
        <w:rPr>
          <w:rFonts w:cstheme="minorHAnsi"/>
        </w:rPr>
        <w:t xml:space="preserve"> </w:t>
      </w:r>
      <w:r w:rsidR="000A1572">
        <w:rPr>
          <w:rFonts w:cstheme="minorHAnsi"/>
        </w:rPr>
        <w:t>10</w:t>
      </w:r>
      <w:r>
        <w:rPr>
          <w:rFonts w:cstheme="minorHAnsi"/>
        </w:rPr>
        <w:t xml:space="preserve"> Mbit/s)</w:t>
      </w:r>
    </w:p>
    <w:p w14:paraId="51FBFFB4" w14:textId="68343747" w:rsidR="00F6216E" w:rsidRDefault="00FF3D9A" w:rsidP="00F6216E">
      <w:pPr>
        <w:jc w:val="both"/>
        <w:rPr>
          <w:rFonts w:cstheme="minorHAnsi"/>
        </w:rPr>
      </w:pPr>
      <w:r>
        <w:rPr>
          <w:rFonts w:cstheme="minorHAnsi"/>
        </w:rPr>
        <w:t xml:space="preserve">5) </w:t>
      </w:r>
      <w:r w:rsidR="000A1572">
        <w:rPr>
          <w:rFonts w:cstheme="minorHAnsi"/>
        </w:rPr>
        <w:t>VSB ONLINE</w:t>
      </w:r>
      <w:r w:rsidR="00F6216E" w:rsidRPr="00F6216E">
        <w:rPr>
          <w:rFonts w:cstheme="minorHAnsi"/>
        </w:rPr>
        <w:t xml:space="preserve"> – unlimited</w:t>
      </w:r>
      <w:r>
        <w:rPr>
          <w:rFonts w:cstheme="minorHAnsi"/>
        </w:rPr>
        <w:t xml:space="preserve"> (datová SIM)</w:t>
      </w:r>
    </w:p>
    <w:p w14:paraId="2D37B9E4" w14:textId="7930CE06" w:rsidR="00FF3D9A" w:rsidRDefault="00FF3D9A" w:rsidP="00FF3D9A">
      <w:pPr>
        <w:jc w:val="both"/>
        <w:rPr>
          <w:rFonts w:cstheme="minorHAnsi"/>
        </w:rPr>
      </w:pPr>
      <w:r>
        <w:rPr>
          <w:rFonts w:cstheme="minorHAnsi"/>
        </w:rPr>
        <w:t xml:space="preserve">6) </w:t>
      </w:r>
      <w:r w:rsidR="000A1572">
        <w:rPr>
          <w:rFonts w:cstheme="minorHAnsi"/>
        </w:rPr>
        <w:t xml:space="preserve">VSB </w:t>
      </w:r>
      <w:r w:rsidRPr="00F6216E">
        <w:rPr>
          <w:rFonts w:cstheme="minorHAnsi"/>
        </w:rPr>
        <w:t>D</w:t>
      </w:r>
      <w:r w:rsidR="000A1572">
        <w:rPr>
          <w:rFonts w:cstheme="minorHAnsi"/>
        </w:rPr>
        <w:t>ATA</w:t>
      </w:r>
      <w:r w:rsidRPr="00F6216E">
        <w:rPr>
          <w:rFonts w:cstheme="minorHAnsi"/>
        </w:rPr>
        <w:t xml:space="preserve"> – </w:t>
      </w:r>
      <w:r>
        <w:rPr>
          <w:rFonts w:cstheme="minorHAnsi"/>
        </w:rPr>
        <w:t>15 GB (datová SIM)</w:t>
      </w:r>
    </w:p>
    <w:p w14:paraId="3DA01719" w14:textId="3DF25ABF" w:rsidR="00327C8E" w:rsidRDefault="00327C8E" w:rsidP="00327C8E">
      <w:pPr>
        <w:jc w:val="both"/>
        <w:rPr>
          <w:rFonts w:cstheme="minorHAnsi"/>
        </w:rPr>
      </w:pPr>
      <w:r>
        <w:rPr>
          <w:rFonts w:cstheme="minorHAnsi"/>
        </w:rPr>
        <w:t xml:space="preserve">Cena za volání u balíčků 1) VSB ECO a 2) VSB BASIC bude identická, stejně tak cena za odeslanou SMS. Předmětem hodnocení bude cena za minutu volání a cena za odeslanou SMS, viz příloha č.2. </w:t>
      </w:r>
    </w:p>
    <w:p w14:paraId="01EA914D" w14:textId="77777777" w:rsidR="00921D9D" w:rsidRDefault="00921D9D" w:rsidP="00327C8E">
      <w:pPr>
        <w:jc w:val="both"/>
        <w:rPr>
          <w:rFonts w:cstheme="minorHAnsi"/>
        </w:rPr>
      </w:pPr>
    </w:p>
    <w:p w14:paraId="179F8712" w14:textId="77777777" w:rsidR="00F6216E" w:rsidRPr="0034382E" w:rsidRDefault="00F6216E" w:rsidP="00FF3D9A">
      <w:pPr>
        <w:jc w:val="both"/>
        <w:rPr>
          <w:rFonts w:cstheme="minorHAnsi"/>
        </w:rPr>
      </w:pPr>
    </w:p>
    <w:sectPr w:rsidR="00F6216E" w:rsidRPr="0034382E" w:rsidSect="00537A85">
      <w:pgSz w:w="11920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CC49" w14:textId="77777777" w:rsidR="008351AC" w:rsidRDefault="008351AC">
      <w:pPr>
        <w:spacing w:after="0" w:line="240" w:lineRule="auto"/>
      </w:pPr>
      <w:r>
        <w:separator/>
      </w:r>
    </w:p>
  </w:endnote>
  <w:endnote w:type="continuationSeparator" w:id="0">
    <w:p w14:paraId="72D875D2" w14:textId="77777777" w:rsidR="008351AC" w:rsidRDefault="0083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A9AC" w14:textId="77777777" w:rsidR="008351AC" w:rsidRDefault="008351AC">
      <w:pPr>
        <w:spacing w:after="0" w:line="240" w:lineRule="auto"/>
      </w:pPr>
      <w:r>
        <w:separator/>
      </w:r>
    </w:p>
  </w:footnote>
  <w:footnote w:type="continuationSeparator" w:id="0">
    <w:p w14:paraId="4965C109" w14:textId="77777777" w:rsidR="008351AC" w:rsidRDefault="00835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2604"/>
    <w:multiLevelType w:val="hybridMultilevel"/>
    <w:tmpl w:val="0ABABD52"/>
    <w:lvl w:ilvl="0" w:tplc="319C8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67163"/>
    <w:multiLevelType w:val="hybridMultilevel"/>
    <w:tmpl w:val="8A9281E6"/>
    <w:lvl w:ilvl="0" w:tplc="319C8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B0BC2"/>
    <w:multiLevelType w:val="hybridMultilevel"/>
    <w:tmpl w:val="89282954"/>
    <w:lvl w:ilvl="0" w:tplc="661246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352AB"/>
    <w:multiLevelType w:val="hybridMultilevel"/>
    <w:tmpl w:val="442262B8"/>
    <w:lvl w:ilvl="0" w:tplc="319C8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F6ED0"/>
    <w:multiLevelType w:val="hybridMultilevel"/>
    <w:tmpl w:val="76E2180A"/>
    <w:lvl w:ilvl="0" w:tplc="319C8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NzE3tjQ1NjW2MDdV0lEKTi0uzszPAykwqQUAOn5W6CwAAAA="/>
  </w:docVars>
  <w:rsids>
    <w:rsidRoot w:val="003F35EC"/>
    <w:rsid w:val="00000186"/>
    <w:rsid w:val="000042F8"/>
    <w:rsid w:val="00005DFB"/>
    <w:rsid w:val="0002213A"/>
    <w:rsid w:val="000234B3"/>
    <w:rsid w:val="00051CC3"/>
    <w:rsid w:val="00052C84"/>
    <w:rsid w:val="000563FD"/>
    <w:rsid w:val="00067AEF"/>
    <w:rsid w:val="0007275F"/>
    <w:rsid w:val="00086099"/>
    <w:rsid w:val="000A066C"/>
    <w:rsid w:val="000A1572"/>
    <w:rsid w:val="000A74D1"/>
    <w:rsid w:val="000C751D"/>
    <w:rsid w:val="000D2327"/>
    <w:rsid w:val="00115874"/>
    <w:rsid w:val="00123FF0"/>
    <w:rsid w:val="001332E3"/>
    <w:rsid w:val="00136856"/>
    <w:rsid w:val="00137CEA"/>
    <w:rsid w:val="00151D39"/>
    <w:rsid w:val="00165C94"/>
    <w:rsid w:val="00172F25"/>
    <w:rsid w:val="00181F45"/>
    <w:rsid w:val="00193525"/>
    <w:rsid w:val="001A2B95"/>
    <w:rsid w:val="001A64DF"/>
    <w:rsid w:val="001C015B"/>
    <w:rsid w:val="001C0D79"/>
    <w:rsid w:val="001C2D0E"/>
    <w:rsid w:val="001F0140"/>
    <w:rsid w:val="00206C5D"/>
    <w:rsid w:val="002073D9"/>
    <w:rsid w:val="00210BD3"/>
    <w:rsid w:val="00222F56"/>
    <w:rsid w:val="002277D0"/>
    <w:rsid w:val="00227C88"/>
    <w:rsid w:val="002513CC"/>
    <w:rsid w:val="002523F9"/>
    <w:rsid w:val="002750B5"/>
    <w:rsid w:val="00290268"/>
    <w:rsid w:val="00296AAE"/>
    <w:rsid w:val="002A67B0"/>
    <w:rsid w:val="002B5DF9"/>
    <w:rsid w:val="002B7D0D"/>
    <w:rsid w:val="002C4BD2"/>
    <w:rsid w:val="002F357A"/>
    <w:rsid w:val="00302184"/>
    <w:rsid w:val="00305A89"/>
    <w:rsid w:val="00321DF4"/>
    <w:rsid w:val="003235AB"/>
    <w:rsid w:val="00327C8E"/>
    <w:rsid w:val="0034382E"/>
    <w:rsid w:val="00353525"/>
    <w:rsid w:val="00353996"/>
    <w:rsid w:val="0037379E"/>
    <w:rsid w:val="00394826"/>
    <w:rsid w:val="003960EA"/>
    <w:rsid w:val="003B5B07"/>
    <w:rsid w:val="003D205A"/>
    <w:rsid w:val="003D7197"/>
    <w:rsid w:val="003E11FC"/>
    <w:rsid w:val="003E39FB"/>
    <w:rsid w:val="003E3DAB"/>
    <w:rsid w:val="003E6A08"/>
    <w:rsid w:val="003F35EC"/>
    <w:rsid w:val="003F36C2"/>
    <w:rsid w:val="00402CD4"/>
    <w:rsid w:val="004216D9"/>
    <w:rsid w:val="004244A9"/>
    <w:rsid w:val="00426B9F"/>
    <w:rsid w:val="00472D49"/>
    <w:rsid w:val="00493226"/>
    <w:rsid w:val="004A25F6"/>
    <w:rsid w:val="004A261C"/>
    <w:rsid w:val="004A3AE3"/>
    <w:rsid w:val="004B467C"/>
    <w:rsid w:val="004B48C1"/>
    <w:rsid w:val="004C2439"/>
    <w:rsid w:val="004C31C7"/>
    <w:rsid w:val="004E7A9F"/>
    <w:rsid w:val="00504A90"/>
    <w:rsid w:val="00507285"/>
    <w:rsid w:val="005160AE"/>
    <w:rsid w:val="00516623"/>
    <w:rsid w:val="005257AA"/>
    <w:rsid w:val="00537A85"/>
    <w:rsid w:val="00553A87"/>
    <w:rsid w:val="00561F67"/>
    <w:rsid w:val="00585613"/>
    <w:rsid w:val="005927F4"/>
    <w:rsid w:val="005E47B1"/>
    <w:rsid w:val="006335CD"/>
    <w:rsid w:val="006443B9"/>
    <w:rsid w:val="006525E5"/>
    <w:rsid w:val="00653ADE"/>
    <w:rsid w:val="00656287"/>
    <w:rsid w:val="006670C2"/>
    <w:rsid w:val="006708EC"/>
    <w:rsid w:val="0068081F"/>
    <w:rsid w:val="0068601A"/>
    <w:rsid w:val="006A4388"/>
    <w:rsid w:val="006A6AE9"/>
    <w:rsid w:val="006E6E9A"/>
    <w:rsid w:val="006F06FF"/>
    <w:rsid w:val="007043DA"/>
    <w:rsid w:val="00704C9F"/>
    <w:rsid w:val="00720DA2"/>
    <w:rsid w:val="007235B3"/>
    <w:rsid w:val="00735D0D"/>
    <w:rsid w:val="00746338"/>
    <w:rsid w:val="00781390"/>
    <w:rsid w:val="00787F1F"/>
    <w:rsid w:val="007A305F"/>
    <w:rsid w:val="007D0267"/>
    <w:rsid w:val="007D04FE"/>
    <w:rsid w:val="007E1A3C"/>
    <w:rsid w:val="007F0CF6"/>
    <w:rsid w:val="00800134"/>
    <w:rsid w:val="00821D41"/>
    <w:rsid w:val="00823327"/>
    <w:rsid w:val="00824C59"/>
    <w:rsid w:val="00827690"/>
    <w:rsid w:val="008351AC"/>
    <w:rsid w:val="00842A59"/>
    <w:rsid w:val="00861A44"/>
    <w:rsid w:val="00870E2A"/>
    <w:rsid w:val="008A118C"/>
    <w:rsid w:val="008B43CC"/>
    <w:rsid w:val="008D59BC"/>
    <w:rsid w:val="008D6978"/>
    <w:rsid w:val="008F23D7"/>
    <w:rsid w:val="0090336F"/>
    <w:rsid w:val="00903535"/>
    <w:rsid w:val="009169FB"/>
    <w:rsid w:val="009177CB"/>
    <w:rsid w:val="00921D9D"/>
    <w:rsid w:val="00923121"/>
    <w:rsid w:val="00936B2C"/>
    <w:rsid w:val="0094117D"/>
    <w:rsid w:val="00947416"/>
    <w:rsid w:val="00951C96"/>
    <w:rsid w:val="0095699F"/>
    <w:rsid w:val="00962A54"/>
    <w:rsid w:val="00973F5B"/>
    <w:rsid w:val="00975187"/>
    <w:rsid w:val="00983E19"/>
    <w:rsid w:val="00985260"/>
    <w:rsid w:val="00990F92"/>
    <w:rsid w:val="009A004F"/>
    <w:rsid w:val="009B2887"/>
    <w:rsid w:val="009B4787"/>
    <w:rsid w:val="009C1F39"/>
    <w:rsid w:val="009C3B73"/>
    <w:rsid w:val="00A02ECD"/>
    <w:rsid w:val="00A248C9"/>
    <w:rsid w:val="00A2616B"/>
    <w:rsid w:val="00A36A22"/>
    <w:rsid w:val="00A541FA"/>
    <w:rsid w:val="00A60D9A"/>
    <w:rsid w:val="00A8660E"/>
    <w:rsid w:val="00A9076D"/>
    <w:rsid w:val="00A9343F"/>
    <w:rsid w:val="00A93CD2"/>
    <w:rsid w:val="00A97023"/>
    <w:rsid w:val="00AA2F04"/>
    <w:rsid w:val="00AC2A0D"/>
    <w:rsid w:val="00B0162D"/>
    <w:rsid w:val="00B040BE"/>
    <w:rsid w:val="00B4139E"/>
    <w:rsid w:val="00B8418C"/>
    <w:rsid w:val="00B86597"/>
    <w:rsid w:val="00B8790C"/>
    <w:rsid w:val="00B90D04"/>
    <w:rsid w:val="00B91162"/>
    <w:rsid w:val="00BA0D96"/>
    <w:rsid w:val="00BC3E6C"/>
    <w:rsid w:val="00BC690D"/>
    <w:rsid w:val="00BE1E1A"/>
    <w:rsid w:val="00BF47A7"/>
    <w:rsid w:val="00BF5343"/>
    <w:rsid w:val="00C22A1C"/>
    <w:rsid w:val="00C27D19"/>
    <w:rsid w:val="00C36CC7"/>
    <w:rsid w:val="00C41DBB"/>
    <w:rsid w:val="00C53073"/>
    <w:rsid w:val="00C62DE5"/>
    <w:rsid w:val="00C64DB1"/>
    <w:rsid w:val="00C912E3"/>
    <w:rsid w:val="00CA2D9E"/>
    <w:rsid w:val="00CB0049"/>
    <w:rsid w:val="00CD323C"/>
    <w:rsid w:val="00CD5E4A"/>
    <w:rsid w:val="00D05BBE"/>
    <w:rsid w:val="00D159F3"/>
    <w:rsid w:val="00D25ADF"/>
    <w:rsid w:val="00D3222D"/>
    <w:rsid w:val="00D507E5"/>
    <w:rsid w:val="00D6468B"/>
    <w:rsid w:val="00D65347"/>
    <w:rsid w:val="00D66D33"/>
    <w:rsid w:val="00D726E9"/>
    <w:rsid w:val="00D745A5"/>
    <w:rsid w:val="00D84C7D"/>
    <w:rsid w:val="00D95B7F"/>
    <w:rsid w:val="00DA2884"/>
    <w:rsid w:val="00DA28DF"/>
    <w:rsid w:val="00DB0663"/>
    <w:rsid w:val="00DB4A2A"/>
    <w:rsid w:val="00E0529E"/>
    <w:rsid w:val="00E10542"/>
    <w:rsid w:val="00E32236"/>
    <w:rsid w:val="00E46433"/>
    <w:rsid w:val="00E70DE5"/>
    <w:rsid w:val="00E77BEC"/>
    <w:rsid w:val="00E91C54"/>
    <w:rsid w:val="00EA755B"/>
    <w:rsid w:val="00EC7D91"/>
    <w:rsid w:val="00ED110D"/>
    <w:rsid w:val="00EE3C5F"/>
    <w:rsid w:val="00EE6A70"/>
    <w:rsid w:val="00F2117E"/>
    <w:rsid w:val="00F21693"/>
    <w:rsid w:val="00F44FD9"/>
    <w:rsid w:val="00F6216E"/>
    <w:rsid w:val="00F67F7D"/>
    <w:rsid w:val="00F77C18"/>
    <w:rsid w:val="00F8360B"/>
    <w:rsid w:val="00FA2590"/>
    <w:rsid w:val="00FA2DE8"/>
    <w:rsid w:val="00FC2964"/>
    <w:rsid w:val="00FD2E95"/>
    <w:rsid w:val="00FD43FF"/>
    <w:rsid w:val="00FE011F"/>
    <w:rsid w:val="00FE7A29"/>
    <w:rsid w:val="00FF01AB"/>
    <w:rsid w:val="00FF142E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3614"/>
  <w15:docId w15:val="{B37CC522-8485-4A53-8582-05FFB486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3F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35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F35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zmezer">
    <w:name w:val="No Spacing"/>
    <w:uiPriority w:val="1"/>
    <w:qFormat/>
    <w:rsid w:val="003F35EC"/>
    <w:pPr>
      <w:spacing w:after="0" w:line="240" w:lineRule="auto"/>
    </w:pPr>
    <w:rPr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973F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7E5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A2616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3C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3C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3C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3C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3C5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22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3" ma:contentTypeDescription="Vytvoří nový dokument" ma:contentTypeScope="" ma:versionID="cfb29196623a4314609dcdca4a6d2be6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e6287658ff9bee931a7dbf9171e5a172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EEF99-0828-4888-B2E2-99101B861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2948A-4B71-475A-ACAD-6CDC14252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E179-FD6F-4925-BC83-C79395571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2F5710-F17F-43E2-9210-CB1305CAF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2387</Words>
  <Characters>14084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</Company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2</cp:revision>
  <cp:lastPrinted>2014-03-11T12:16:00Z</cp:lastPrinted>
  <dcterms:created xsi:type="dcterms:W3CDTF">2026-04-17T06:12:00Z</dcterms:created>
  <dcterms:modified xsi:type="dcterms:W3CDTF">2026-04-17T06:12:00Z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</Properties>
</file>