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AE12" w14:textId="67E766A9" w:rsidR="00F71E60" w:rsidRPr="00E5344A" w:rsidRDefault="00F71E60" w:rsidP="00FA405F">
      <w:pPr>
        <w:jc w:val="center"/>
        <w:rPr>
          <w:rFonts w:cstheme="minorHAnsi"/>
          <w:b/>
          <w:bCs/>
          <w:sz w:val="28"/>
          <w:szCs w:val="28"/>
        </w:rPr>
      </w:pPr>
      <w:r w:rsidRPr="00E5344A">
        <w:rPr>
          <w:rFonts w:cstheme="minorHAnsi"/>
          <w:b/>
          <w:bCs/>
          <w:sz w:val="28"/>
          <w:szCs w:val="28"/>
        </w:rPr>
        <w:t xml:space="preserve">Přehled možností jak prokázat kvalifikaci v otevřeném řízení </w:t>
      </w:r>
    </w:p>
    <w:p w14:paraId="768BFDCD" w14:textId="4DEE6050" w:rsidR="004911E3" w:rsidRPr="00E5344A" w:rsidRDefault="004911E3" w:rsidP="00CB2849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Úvodní informace</w:t>
      </w:r>
    </w:p>
    <w:p w14:paraId="35A5AA1A" w14:textId="516CEB5A" w:rsidR="00F71E60" w:rsidRPr="00E5344A" w:rsidRDefault="004911E3" w:rsidP="004911E3">
      <w:pPr>
        <w:jc w:val="both"/>
        <w:rPr>
          <w:rFonts w:cstheme="minorHAnsi"/>
        </w:rPr>
      </w:pPr>
      <w:r w:rsidRPr="00E5344A">
        <w:rPr>
          <w:rFonts w:cstheme="minorHAnsi"/>
        </w:rPr>
        <w:t>Zadavatel v</w:t>
      </w:r>
      <w:r w:rsidR="00F04B5D">
        <w:rPr>
          <w:rFonts w:cstheme="minorHAnsi"/>
        </w:rPr>
        <w:t> čl. 7</w:t>
      </w:r>
      <w:r w:rsidR="006F0972" w:rsidRPr="00E5344A">
        <w:rPr>
          <w:rFonts w:cstheme="minorHAnsi"/>
        </w:rPr>
        <w:t>.</w:t>
      </w:r>
      <w:r w:rsidRPr="00E5344A">
        <w:rPr>
          <w:rFonts w:cstheme="minorHAnsi"/>
        </w:rPr>
        <w:t xml:space="preserve"> zadávací dokumentace stanovil požadavky na prokázání kvalifikace. V tomto dokumentu </w:t>
      </w:r>
      <w:r w:rsidR="00F761B2" w:rsidRPr="00E5344A">
        <w:rPr>
          <w:rFonts w:cstheme="minorHAnsi"/>
        </w:rPr>
        <w:t>zadavatel uvádí</w:t>
      </w:r>
      <w:r w:rsidRPr="00E5344A">
        <w:rPr>
          <w:rFonts w:cstheme="minorHAnsi"/>
        </w:rPr>
        <w:t xml:space="preserve"> přehled zákonem stanovených možností, jak zadavatelem požadovan</w:t>
      </w:r>
      <w:r w:rsidR="00F761B2" w:rsidRPr="00E5344A">
        <w:rPr>
          <w:rFonts w:cstheme="minorHAnsi"/>
        </w:rPr>
        <w:t>ou</w:t>
      </w:r>
      <w:r w:rsidRPr="00E5344A">
        <w:rPr>
          <w:rFonts w:cstheme="minorHAnsi"/>
        </w:rPr>
        <w:t xml:space="preserve"> </w:t>
      </w:r>
      <w:r w:rsidR="00F761B2" w:rsidRPr="00E5344A">
        <w:rPr>
          <w:rFonts w:cstheme="minorHAnsi"/>
        </w:rPr>
        <w:t>kvalifikaci</w:t>
      </w:r>
      <w:r w:rsidRPr="00E5344A">
        <w:rPr>
          <w:rFonts w:cstheme="minorHAnsi"/>
        </w:rPr>
        <w:t xml:space="preserve"> doložit.</w:t>
      </w:r>
    </w:p>
    <w:p w14:paraId="2F7B7ED0" w14:textId="00BB436C" w:rsidR="00F71E60" w:rsidRPr="00E5344A" w:rsidRDefault="00B51B38" w:rsidP="004911E3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Jak již bylo uvedeno v zadávací dokumentaci, s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plněním kvalifikace se rozumí:</w:t>
      </w:r>
    </w:p>
    <w:p w14:paraId="2FBCC376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základní způsobilosti dle ustanovení § 74 zákona,</w:t>
      </w:r>
    </w:p>
    <w:p w14:paraId="77A34DCC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profesní způsobilosti dle ustanovení § 77 zákona,</w:t>
      </w:r>
    </w:p>
    <w:p w14:paraId="4EEC7356" w14:textId="7CD9FDA5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technické kvalifikace dle ustanovení § 79 zákona</w:t>
      </w:r>
      <w:r w:rsidR="004911E3" w:rsidRPr="00E5344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916818C" w14:textId="275482D2" w:rsidR="00F71E60" w:rsidRPr="00E5344A" w:rsidRDefault="002E1A78" w:rsidP="00CB2849">
      <w:pPr>
        <w:pStyle w:val="Nadpis1"/>
        <w:rPr>
          <w:rFonts w:asciiTheme="minorHAnsi" w:hAnsiTheme="minorHAnsi" w:cstheme="minorHAnsi"/>
        </w:rPr>
      </w:pPr>
      <w:bookmarkStart w:id="0" w:name="_Toc107385040"/>
      <w:r w:rsidRPr="00E5344A">
        <w:rPr>
          <w:rFonts w:asciiTheme="minorHAnsi" w:hAnsiTheme="minorHAnsi" w:cstheme="minorHAnsi"/>
        </w:rPr>
        <w:t>Obecné informace k p</w:t>
      </w:r>
      <w:r w:rsidR="00F71E60" w:rsidRPr="00E5344A">
        <w:rPr>
          <w:rFonts w:asciiTheme="minorHAnsi" w:hAnsiTheme="minorHAnsi" w:cstheme="minorHAnsi"/>
        </w:rPr>
        <w:t>rokazování kvalifikace v otevřeném řízení</w:t>
      </w:r>
      <w:bookmarkEnd w:id="0"/>
    </w:p>
    <w:p w14:paraId="6DFDC613" w14:textId="23BFCBE3" w:rsidR="008A6442" w:rsidRPr="00E5344A" w:rsidRDefault="008A6442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 účelem prokázání kvalifikace zadavatel přednostně vyžaduje doklady evidované v systému, který identifikuje doklady k prokázání splnění kvalifikace (systém e-Certis), dostupné na: </w:t>
      </w:r>
      <w:hyperlink r:id="rId8" w:anchor="/homePage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https://ec.europa.eu/tools/ecertis/#/homePage</w:t>
        </w:r>
      </w:hyperlink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0F749D2C" w14:textId="7C44946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prokazuje splnění všech požadovaných kvalifikačních předpokladů předložením příslušných dokladů v prosté kopii.</w:t>
      </w:r>
    </w:p>
    <w:p w14:paraId="07BE5523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si může v průběhu zadávacího řízení vyžádat předložení originálů nebo úředně ověřených kopií dokladů o kvalifikaci.</w:t>
      </w:r>
    </w:p>
    <w:p w14:paraId="2BD4E360" w14:textId="0D51782C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základní způsobilost podle § 74 zákona musí prokazovat splnění požadovaného kritéria způsobilosti ve smyslu § 86 odst. 5 zákona nejpozději v době 3 měsíců přede dnem zahájení zadávacího řízení.</w:t>
      </w:r>
    </w:p>
    <w:p w14:paraId="71D1E3BA" w14:textId="0D641B48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 souladu s § 45 odst. 4 zákona umožňuje dodavatelům v nabídce doložit splnění kvalifikace prostřednictvím odkazu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03D67F1B" w14:textId="7C7E5066" w:rsidR="00EA7E7F" w:rsidRPr="00E5344A" w:rsidRDefault="00EA7E7F" w:rsidP="00EA7E7F">
      <w:pPr>
        <w:pStyle w:val="odstavec"/>
        <w:rPr>
          <w:rStyle w:val="Hypertextovodkaz"/>
          <w:rFonts w:asciiTheme="minorHAnsi" w:eastAsia="Times New Roman" w:hAnsiTheme="minorHAnsi" w:cstheme="minorHAnsi"/>
          <w:color w:val="0000FF"/>
          <w:sz w:val="28"/>
          <w:szCs w:val="22"/>
          <w:u w:val="none"/>
          <w:lang w:val="cs-CZ" w:eastAsia="zh-CN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 prokázání základní a profesní způsobilosti (viz čl. 3 a 4 níže) lze vhodně využít tzv. výpis ze seznamu kvalifikovaných dodavatelů (viz čl. 7 níže), resp. uvést do formuláře nabídky v bodě 4.1 odkaz na tento výpis. V případě, že je dodavatel registrován v tomto seznamu, lze výpis opatřit na adrese: </w:t>
      </w:r>
      <w:hyperlink r:id="rId9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https://skd.nipez.cz/ISVZ/SKD/Filter.aspx?type=2</w:t>
        </w:r>
      </w:hyperlink>
      <w:r w:rsidRPr="00E5344A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Obdobně lze postupovat i v případě dokládání profesní způsobilosti výpisem z obchodního rejstříku, kdy lze odkaz získat na adrese </w:t>
      </w:r>
      <w:hyperlink r:id="rId10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https://or.justice.cz/ias/ui/rejstrik</w:t>
        </w:r>
      </w:hyperlink>
      <w:r w:rsidRPr="00E5344A">
        <w:rPr>
          <w:rStyle w:val="Hypertextovodkaz"/>
          <w:rFonts w:asciiTheme="minorHAnsi" w:eastAsia="Times New Roman" w:hAnsiTheme="minorHAnsi" w:cstheme="minorHAnsi"/>
          <w:color w:val="auto"/>
          <w:sz w:val="28"/>
          <w:szCs w:val="22"/>
          <w:u w:val="none"/>
          <w:lang w:val="cs-CZ" w:eastAsia="zh-CN"/>
        </w:rPr>
        <w:t>.</w:t>
      </w:r>
    </w:p>
    <w:p w14:paraId="38632868" w14:textId="77777777" w:rsidR="00F71E60" w:rsidRPr="00E5344A" w:rsidRDefault="00F71E60" w:rsidP="00CB2849">
      <w:pPr>
        <w:pStyle w:val="Nadpis1"/>
        <w:rPr>
          <w:rFonts w:asciiTheme="minorHAnsi" w:hAnsiTheme="minorHAnsi" w:cstheme="minorHAnsi"/>
        </w:rPr>
      </w:pPr>
      <w:bookmarkStart w:id="1" w:name="_Toc107385041"/>
      <w:r w:rsidRPr="00E5344A">
        <w:rPr>
          <w:rFonts w:asciiTheme="minorHAnsi" w:hAnsiTheme="minorHAnsi" w:cstheme="minorHAnsi"/>
        </w:rPr>
        <w:t>Základní způsobilost</w:t>
      </w:r>
      <w:bookmarkEnd w:id="1"/>
      <w:r w:rsidRPr="00E5344A">
        <w:rPr>
          <w:rFonts w:asciiTheme="minorHAnsi" w:hAnsiTheme="minorHAnsi" w:cstheme="minorHAnsi"/>
        </w:rPr>
        <w:t xml:space="preserve"> </w:t>
      </w:r>
    </w:p>
    <w:p w14:paraId="4F11E929" w14:textId="21E73DB3" w:rsidR="00F71E60" w:rsidRPr="00E5344A" w:rsidRDefault="00CB2849" w:rsidP="00CB2849">
      <w:pPr>
        <w:pStyle w:val="Nadpis3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 xml:space="preserve"> </w:t>
      </w:r>
      <w:r w:rsidR="002E1A78" w:rsidRPr="00E5344A">
        <w:rPr>
          <w:rFonts w:asciiTheme="minorHAnsi" w:hAnsiTheme="minorHAnsi" w:cstheme="minorHAnsi"/>
        </w:rPr>
        <w:t>Z</w:t>
      </w:r>
      <w:r w:rsidR="00F71E60" w:rsidRPr="00E5344A">
        <w:rPr>
          <w:rFonts w:asciiTheme="minorHAnsi" w:hAnsiTheme="minorHAnsi" w:cstheme="minorHAnsi"/>
        </w:rPr>
        <w:t>ákladní způsobilost splní účastník zadávacího řízení:</w:t>
      </w:r>
    </w:p>
    <w:p w14:paraId="7D2A9964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lastRenderedPageBreak/>
        <w:t>orgánu této právnické osoby a také osoba zastupující tuto právnickou osobu v statutárním orgánu dodavatele.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1"/>
      </w:r>
    </w:p>
    <w:p w14:paraId="664B86D0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v evidenci daní zachycen splatný daňový nedoplatek,</w:t>
      </w:r>
    </w:p>
    <w:p w14:paraId="7A7FD292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veřejné zdravotní pojištění,</w:t>
      </w:r>
    </w:p>
    <w:p w14:paraId="14BE124B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sociální zabezpečení a příspěvku na státní politiku zaměstnanosti,</w:t>
      </w:r>
    </w:p>
    <w:p w14:paraId="5AD08669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0CC148B5" w14:textId="5A5419BB" w:rsidR="00F71E60" w:rsidRPr="00E5344A" w:rsidRDefault="00623F3A" w:rsidP="00CB2849">
      <w:pPr>
        <w:pStyle w:val="Nadpis3"/>
        <w:rPr>
          <w:rFonts w:asciiTheme="minorHAnsi" w:hAnsiTheme="minorHAnsi" w:cstheme="minorHAnsi"/>
        </w:rPr>
      </w:pPr>
      <w:bookmarkStart w:id="2" w:name="_Toc107385042"/>
      <w:r w:rsidRPr="00E5344A">
        <w:rPr>
          <w:rFonts w:asciiTheme="minorHAnsi" w:hAnsiTheme="minorHAnsi" w:cstheme="minorHAnsi"/>
        </w:rPr>
        <w:t xml:space="preserve"> </w:t>
      </w:r>
      <w:r w:rsidR="00F71E60" w:rsidRPr="00E5344A">
        <w:rPr>
          <w:rFonts w:asciiTheme="minorHAnsi" w:hAnsiTheme="minorHAnsi" w:cstheme="minorHAnsi"/>
        </w:rPr>
        <w:t>Prokázání základní způsobilosti</w:t>
      </w:r>
      <w:bookmarkEnd w:id="2"/>
    </w:p>
    <w:p w14:paraId="6E0F0412" w14:textId="5627A2E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Dodavatel prokazuje splnění podmínek základní způsobilosti ve vztahu k České republice předložením </w:t>
      </w:r>
    </w:p>
    <w:p w14:paraId="511C08D8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příslušných výpisů z evidence Rejstříku trestů fyzických a právnických osob ve vztahu k § 74 odst. 1 písm. a) zákona,</w:t>
      </w:r>
    </w:p>
    <w:p w14:paraId="3B8C2C4C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potvrzení příslušného finančního úřadu ve vztahu k § 74 odst. 1 písm. b) zákona,</w:t>
      </w:r>
    </w:p>
    <w:p w14:paraId="0B8C33AF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ke spotřební dani ve vztahu k § 74 odst. 1 písm. b) zákona,</w:t>
      </w:r>
    </w:p>
    <w:p w14:paraId="1CA76C69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 § 74 odst. 1 písm. c) zákona,</w:t>
      </w:r>
    </w:p>
    <w:p w14:paraId="5DF6B596" w14:textId="5D13F553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potvrzení příslušné </w:t>
      </w:r>
      <w:r w:rsidR="001F7872" w:rsidRPr="00E5344A">
        <w:rPr>
          <w:rFonts w:asciiTheme="minorHAnsi" w:hAnsiTheme="minorHAnsi" w:cstheme="minorHAnsi"/>
          <w:sz w:val="22"/>
          <w:szCs w:val="22"/>
          <w:lang w:val="cs-CZ"/>
        </w:rPr>
        <w:t>územní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správy sociálního zabezpečení ve vztahu k § 74 odst. 1 písm. d) zákona,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2"/>
      </w:r>
    </w:p>
    <w:p w14:paraId="5CA1133B" w14:textId="77B6EAF6" w:rsidR="00122F24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výpisu z obchodního rejstříku, nebo předložením písemného čestného prohlášení v případě, že není v obchodním rejstříku zapsán, ve vztahu k § 74 odst. 1 písm. e) zákona.</w:t>
      </w:r>
    </w:p>
    <w:p w14:paraId="23101350" w14:textId="5322FE50" w:rsidR="006F0972" w:rsidRPr="00E5344A" w:rsidRDefault="008A6442" w:rsidP="008A6442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  <w:sectPr w:rsidR="006F0972" w:rsidRPr="00E5344A" w:rsidSect="00FA405F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Tabulka č. 1 nabízí přehled dokladů prokazujících splnění základní způsobilosti, a to nejen ve vztahu k České republice, ale také ve vztahu k zemi sídla zahraničních dodavatelů.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Zahraniční dodavatel o potřebné doklady ve vztahu k České republice žádá příslušné 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české 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>ins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tituce</w:t>
      </w:r>
      <w:r w:rsidR="00CA03F9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uvedené v tabulce č. 1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. Zadavatel upozorňuje dodavatele, že vydání některých dokumentů je zpoplatněno.</w:t>
      </w:r>
    </w:p>
    <w:p w14:paraId="446E1C9B" w14:textId="32495F00" w:rsidR="00733940" w:rsidRPr="00E5344A" w:rsidRDefault="0073394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lastRenderedPageBreak/>
        <w:t>Tabulka č. 1 Přehled dokladů prokazujících splnění základní způsobilosti, jak ve vztahu k ČR, tak v případě zahraničních dodavatelů k zemi sídla</w:t>
      </w:r>
    </w:p>
    <w:tbl>
      <w:tblPr>
        <w:tblW w:w="14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69"/>
        <w:gridCol w:w="6704"/>
      </w:tblGrid>
      <w:tr w:rsidR="00733940" w:rsidRPr="00E5344A" w14:paraId="113F8448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1BA9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0573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České republice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EBB6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zemi sídla</w:t>
            </w:r>
          </w:p>
        </w:tc>
      </w:tr>
      <w:tr w:rsidR="00733940" w:rsidRPr="00E5344A" w14:paraId="0A42F82F" w14:textId="77777777" w:rsidTr="00FA405F">
        <w:trPr>
          <w:trHeight w:val="6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2657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základní způsobilost </w:t>
            </w:r>
          </w:p>
          <w:p w14:paraId="58BC7A7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dle § 74 odst. 1 zákona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5CC8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42E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3940" w:rsidRPr="00E5344A" w14:paraId="78BD800E" w14:textId="77777777" w:rsidTr="00FA405F">
        <w:trPr>
          <w:trHeight w:val="733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92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a)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280B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102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evidence rejstříku trestů pro právnické osoby v zemi sídla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výpis z evidence rejstříku trestů v zemi sídla pro jednotlivé osoby statutárního orgánu dodavatele </w:t>
            </w:r>
          </w:p>
        </w:tc>
      </w:tr>
      <w:tr w:rsidR="00733940" w:rsidRPr="00E5344A" w14:paraId="374460BD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9BC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b)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94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finančního úřadu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písemné čestné prohlášení ve vztahu ke spotřební dani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305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3A2DE0F0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FD4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c)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66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písemné čestné prohlášení 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591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59EAE4B8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3B5F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d)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595E" w14:textId="00959893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potvrzení příslušné </w:t>
            </w:r>
            <w:r w:rsidR="001F7872"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územní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správy sociálního zabezpečení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4B48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6A3F935E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3F5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e)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8D94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173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</w:tr>
    </w:tbl>
    <w:p w14:paraId="32B34895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3" w:name="_Toc107385043"/>
      <w:r w:rsidRPr="00E5344A">
        <w:rPr>
          <w:rFonts w:asciiTheme="minorHAnsi" w:hAnsiTheme="minorHAnsi" w:cstheme="minorHAnsi"/>
        </w:rPr>
        <w:t>Profesní způsobilost</w:t>
      </w:r>
      <w:bookmarkEnd w:id="3"/>
    </w:p>
    <w:p w14:paraId="22F45DC4" w14:textId="3D43F3B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Splnění profesní způsobilosti podle § 77 </w:t>
      </w:r>
      <w:r w:rsidR="004A7473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ve vztahu k České republice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prokáže účastník zadávacího řízení, který předloží </w:t>
      </w:r>
      <w:r w:rsidRPr="00E5344A">
        <w:rPr>
          <w:rFonts w:asciiTheme="minorHAnsi" w:hAnsiTheme="minorHAnsi" w:cstheme="minorHAnsi"/>
          <w:b/>
          <w:sz w:val="22"/>
          <w:szCs w:val="22"/>
          <w:lang w:val="cs-CZ"/>
        </w:rPr>
        <w:t>výpis z obchodního rejstříku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>, pokud je v něm zapsán, či výpis z jiné obdobné evidence, pokud je v ní zapsán (§ 77 odst. 1 zákona).</w:t>
      </w:r>
    </w:p>
    <w:p w14:paraId="13BDDAD2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případě, že dodavatel není zapsán v obchodním rejstříku, je povinen do nabídky doložit čestné prohlášení ve vztahu k ust. § 74 odst. 1 písm. e) zákona.</w:t>
      </w:r>
    </w:p>
    <w:p w14:paraId="59BDBCBF" w14:textId="629D7181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4" w:name="_Toc6917881"/>
      <w:bookmarkStart w:id="5" w:name="_Toc107385044"/>
      <w:r w:rsidRPr="00E5344A">
        <w:rPr>
          <w:rFonts w:asciiTheme="minorHAnsi" w:hAnsiTheme="minorHAnsi" w:cstheme="minorHAnsi"/>
        </w:rPr>
        <w:t>Technická kvalifikace</w:t>
      </w:r>
      <w:bookmarkEnd w:id="4"/>
      <w:bookmarkEnd w:id="5"/>
    </w:p>
    <w:p w14:paraId="168FDDF2" w14:textId="77777777" w:rsidR="00220560" w:rsidRDefault="00220560" w:rsidP="00220560">
      <w:pPr>
        <w:keepNext/>
        <w:spacing w:after="120" w:line="240" w:lineRule="auto"/>
        <w:jc w:val="both"/>
      </w:pPr>
      <w:bookmarkStart w:id="6" w:name="_Toc107385045"/>
      <w:r>
        <w:t>Splnění této části technické kvalifikace prokáže účastník zadávacího řízení, který předloží</w:t>
      </w:r>
      <w:r w:rsidRPr="16E4556D">
        <w:rPr>
          <w:b/>
          <w:bCs/>
        </w:rPr>
        <w:t xml:space="preserve"> </w:t>
      </w:r>
      <w:r w:rsidRPr="00A84ACC">
        <w:t>seznam významných dodávek</w:t>
      </w:r>
      <w:r>
        <w:t xml:space="preserve"> </w:t>
      </w:r>
      <w:r w:rsidRPr="00A84ACC">
        <w:t>realizovaných</w:t>
      </w:r>
      <w:r>
        <w:t xml:space="preserve"> </w:t>
      </w:r>
      <w:r w:rsidRPr="00F109E1">
        <w:t>za posledních 5 let před</w:t>
      </w:r>
      <w:r>
        <w:t xml:space="preserve"> zahájením zadávacího řízení ve smyslu ust. § 79 odst. 2 písm. b) zákona.</w:t>
      </w:r>
    </w:p>
    <w:p w14:paraId="2842524D" w14:textId="77777777" w:rsidR="00220560" w:rsidRDefault="00220560" w:rsidP="00220560">
      <w:pPr>
        <w:pStyle w:val="Zkladntext"/>
        <w:widowControl w:val="0"/>
        <w:spacing w:after="120"/>
        <w:ind w:right="142"/>
        <w:rPr>
          <w:rFonts w:asciiTheme="minorHAnsi" w:hAnsiTheme="minorHAnsi" w:cstheme="minorHAnsi"/>
          <w:sz w:val="22"/>
          <w:szCs w:val="22"/>
        </w:rPr>
      </w:pPr>
      <w:r w:rsidRPr="008B23F7">
        <w:rPr>
          <w:rFonts w:asciiTheme="minorHAnsi" w:hAnsiTheme="minorHAnsi" w:cstheme="minorHAnsi"/>
          <w:sz w:val="22"/>
          <w:szCs w:val="22"/>
        </w:rPr>
        <w:t>Součástí seznamu musí být alespoň 3 referenční zakázky zahrnující instalaci systému pro generování dusíku metodou PSA nebo metodou VPSA.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37BD0" w14:textId="77777777" w:rsidR="00220560" w:rsidRDefault="00220560" w:rsidP="00220560">
      <w:pPr>
        <w:keepNext/>
        <w:spacing w:after="120" w:line="240" w:lineRule="auto"/>
        <w:jc w:val="both"/>
        <w:sectPr w:rsidR="00220560" w:rsidSect="00220560">
          <w:pgSz w:w="16838" w:h="11906" w:orient="landscape"/>
          <w:pgMar w:top="1417" w:right="1417" w:bottom="1416" w:left="1417" w:header="708" w:footer="708" w:gutter="0"/>
          <w:cols w:space="708"/>
          <w:docGrid w:linePitch="360"/>
        </w:sectPr>
      </w:pPr>
      <w:r w:rsidRPr="009310A1">
        <w:t xml:space="preserve">Údaje o referenčních dodávkách dodavatel poskytne ve formátu </w:t>
      </w:r>
      <w:r w:rsidRPr="00FD320B">
        <w:t>bodu 4.3 formuláře nabídky.</w:t>
      </w:r>
    </w:p>
    <w:p w14:paraId="5F7862A3" w14:textId="017F6E7A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lastRenderedPageBreak/>
        <w:t>Prokazování kvalifikace prostřednictvím jiných osob</w:t>
      </w:r>
      <w:bookmarkEnd w:id="6"/>
    </w:p>
    <w:p w14:paraId="286CEB9F" w14:textId="5295658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může prokázat splnění určité části kvalifikace (s výjimkou kritéria podle § 77 odst. 1 zákona – obchodní rejstřík) požadované zadavatelem prostřednictvím jiných osob.</w:t>
      </w:r>
      <w:r w:rsidR="00F95376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          </w:t>
      </w:r>
    </w:p>
    <w:p w14:paraId="7597F58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je v takovém případě povinen zadavateli předložit:</w:t>
      </w:r>
    </w:p>
    <w:p w14:paraId="61B2E973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profesní způsobilosti podle § 77 odst. 1 zákona (obchodní rejstřík) touto jinou osobou,</w:t>
      </w:r>
    </w:p>
    <w:p w14:paraId="27B2BD9E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příslušné chybějící části technické kvalifikace či profesní způsobilosti touto jinou osobou,</w:t>
      </w:r>
    </w:p>
    <w:p w14:paraId="0F210BE7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o splnění základní způsobilosti podle § 74 zákona touto jinou osobou,</w:t>
      </w:r>
    </w:p>
    <w:p w14:paraId="01D2448F" w14:textId="7F8EDFB4" w:rsidR="00F71E60" w:rsidRPr="00E5344A" w:rsidRDefault="00F81EDE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7A9CD8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a to ve struktuře uvedené v bodě 4.4 přílohy č. 3 této zadávací dokumentace.</w:t>
      </w:r>
    </w:p>
    <w:p w14:paraId="243D4C8A" w14:textId="5DCF3B1D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 případě, že dodavatel prokazuje prostřednictvím jiné osoby kvalifikaci dle § 79 odst. 2 písm. a), b) nebo d) zákona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3"/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81EDE" w:rsidRPr="00E5344A">
        <w:rPr>
          <w:rFonts w:asciiTheme="minorHAnsi" w:hAnsiTheme="minorHAnsi" w:cstheme="minorHAnsi"/>
          <w:sz w:val="22"/>
          <w:szCs w:val="22"/>
          <w:lang w:val="cs-CZ"/>
        </w:rPr>
        <w:t>vztahující se k takové osobě, musí ze smlouvy nebo potvrzení o její existenci podle § 83 odstavce 1 písm. d) zákona vyplývat závazek, že jiná osoba bude vykonávat stavební práce či služby, ke kterým se prokazované kritérium kvalifikace vztahuje.</w:t>
      </w:r>
    </w:p>
    <w:p w14:paraId="5EAE2039" w14:textId="36F52667" w:rsidR="00F71E60" w:rsidRPr="00E5344A" w:rsidRDefault="00F71E6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Zadavatel na základě aktuální judikatury a výkladové praxe upozorňuje dodavatele, že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smlouva o závazku jiné osoby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musí být dostatečně určit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 srozumiteln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. Je nezbytné, aby obsahoval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a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jasně vymezenou kvalifikační dovednost (schopnost, licenci, zkušenost) a reálný platný závazek k jejímu plnění. Formulace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o závazku jiné osoby 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musí být natolik konkrétní, aby z 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í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bylo zcela zřejmé, jaká část kvalifikačních předpokladů bude za dodavatele prokázána prostřednictvím poddodavatele.</w:t>
      </w:r>
    </w:p>
    <w:p w14:paraId="59171F98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7" w:name="_Toc107385046"/>
      <w:r w:rsidRPr="00E5344A">
        <w:rPr>
          <w:rFonts w:asciiTheme="minorHAnsi" w:hAnsiTheme="minorHAnsi" w:cstheme="minorHAnsi"/>
        </w:rPr>
        <w:t>Další způsoby prokázání kvalifikace</w:t>
      </w:r>
      <w:bookmarkEnd w:id="7"/>
    </w:p>
    <w:p w14:paraId="778D3974" w14:textId="5BCADEC4" w:rsidR="00410330" w:rsidRPr="00E5344A" w:rsidRDefault="00410330" w:rsidP="00DB2418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8" w:name="_Toc35994419"/>
      <w:bookmarkStart w:id="9" w:name="_Toc74067818"/>
      <w:bookmarkStart w:id="10" w:name="_Toc526932408"/>
      <w:bookmarkStart w:id="11" w:name="_Toc107385047"/>
      <w:r w:rsidRPr="00E5344A">
        <w:rPr>
          <w:rFonts w:asciiTheme="minorHAnsi" w:hAnsiTheme="minorHAnsi" w:cstheme="minorHAnsi"/>
        </w:rPr>
        <w:t>Čestné prohlášení</w:t>
      </w:r>
    </w:p>
    <w:p w14:paraId="2F063C61" w14:textId="0585606A" w:rsidR="00410330" w:rsidRPr="00E5344A" w:rsidRDefault="00410330" w:rsidP="0041033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 souladu s § 86 odst. 2 zákona umožňuje dodavatelům v nabídce doložit splnění kvalifikace čestným prohlášením. </w:t>
      </w:r>
    </w:p>
    <w:p w14:paraId="141970BA" w14:textId="2A8DA96D" w:rsidR="00410330" w:rsidRPr="00E5344A" w:rsidRDefault="00410330" w:rsidP="00410330">
      <w:pPr>
        <w:pStyle w:val="odstavec"/>
        <w:rPr>
          <w:rFonts w:asciiTheme="minorHAnsi" w:hAnsiTheme="minorHAnsi" w:cstheme="minorHAnsi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Čestné prohlášení musí být podepsáno statutárním orgánem dodavatele, v případě podpisu jinou (pověřenou) osobou, musí být originál nebo úředně ověřená kopie zmocnění této osoby, součástí dokladů, kterými dodavatel prokazuje splnění kvalifikace.</w:t>
      </w:r>
    </w:p>
    <w:p w14:paraId="6723F1D8" w14:textId="30C724C3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Jednotné evropské osvědčení pro veřejné zakázky</w:t>
      </w:r>
      <w:bookmarkEnd w:id="8"/>
      <w:bookmarkEnd w:id="9"/>
    </w:p>
    <w:p w14:paraId="6901CD53" w14:textId="091C625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Doklady a údaje prokazující splnění kvalifikace může dodavatel v souladu s § 87 zákona nahradit Jednotným evropským osvědčením pro veřejné zakázky (dále jen „osvědčení“). </w:t>
      </w:r>
    </w:p>
    <w:p w14:paraId="6F430D33" w14:textId="517977D6" w:rsidR="00F71E60" w:rsidRPr="00E5344A" w:rsidRDefault="00F71E60" w:rsidP="006849CD">
      <w:pPr>
        <w:widowControl w:val="0"/>
        <w:tabs>
          <w:tab w:val="left" w:pos="720"/>
        </w:tabs>
        <w:suppressAutoHyphens/>
        <w:spacing w:after="120" w:line="240" w:lineRule="auto"/>
        <w:ind w:right="567"/>
        <w:jc w:val="both"/>
        <w:rPr>
          <w:rFonts w:cstheme="minorHAnsi"/>
        </w:rPr>
      </w:pPr>
      <w:r w:rsidRPr="00E5344A">
        <w:rPr>
          <w:rFonts w:cstheme="minorHAnsi"/>
        </w:rPr>
        <w:t xml:space="preserve">Osvědčení je formálním prohlášením, tj. předběžným dokladem prokazující splnění požadované kvalifikace a dalších podmínek účasti. Současně lze prostřednictvím osvědčení sdělit informaci o využití poddodavatele, případně to, zda dodavatel naplňuje definici malého a středního podniku </w:t>
      </w:r>
      <w:r w:rsidR="009E258E" w:rsidRPr="00E5344A">
        <w:rPr>
          <w:rFonts w:cstheme="minorHAnsi"/>
        </w:rPr>
        <w:t xml:space="preserve">(dostupné na: </w:t>
      </w:r>
      <w:hyperlink r:id="rId11" w:history="1">
        <w:r w:rsidR="009E258E" w:rsidRPr="00E5344A">
          <w:rPr>
            <w:rStyle w:val="Hypertextovodkaz"/>
            <w:rFonts w:eastAsia="Times New Roman" w:cstheme="minorHAnsi"/>
            <w:color w:val="00A499"/>
            <w:kern w:val="0"/>
            <w:lang w:eastAsia="zh-CN"/>
            <w14:ligatures w14:val="none"/>
          </w:rPr>
          <w:t>https://www.mpo.cz/assets/cz/podnikani/dotace-a-podpora-podnikani/oppik-2014-2020/spolecne-prilohy-dotacnich-programu-op-pik/2023/8/Aplikacni-vyklad-MSP_od-24-5-2023.pdf</w:t>
        </w:r>
      </w:hyperlink>
      <w:r w:rsidR="009E258E" w:rsidRPr="00E5344A">
        <w:rPr>
          <w:rStyle w:val="Hypertextovodkaz"/>
          <w:rFonts w:cstheme="minorHAnsi"/>
          <w:color w:val="auto"/>
          <w:u w:val="none"/>
        </w:rPr>
        <w:t>)</w:t>
      </w:r>
      <w:r w:rsidRPr="00E5344A">
        <w:rPr>
          <w:rFonts w:cstheme="minorHAnsi"/>
        </w:rPr>
        <w:t>.</w:t>
      </w:r>
    </w:p>
    <w:p w14:paraId="2B0874E8" w14:textId="77777777" w:rsidR="00E5344A" w:rsidRDefault="00E5344A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14:paraId="7A5E53D6" w14:textId="51F1243F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lastRenderedPageBreak/>
        <w:t>Prokazování kvalifikace získané v zahraničí</w:t>
      </w:r>
      <w:bookmarkEnd w:id="10"/>
      <w:bookmarkEnd w:id="11"/>
    </w:p>
    <w:p w14:paraId="0FC331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případě, že byla kvalifikace získána v zahraničí, prokazuje se doklady vydanými podle právního řádu země, ve které byla získána, a to v rozsahu požadovaném zadavatelem.</w:t>
      </w:r>
    </w:p>
    <w:p w14:paraId="4E587A13" w14:textId="5477443D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2" w:name="_Toc526932409"/>
      <w:bookmarkStart w:id="13" w:name="_Toc107385048"/>
      <w:r w:rsidRPr="00E5344A">
        <w:rPr>
          <w:rFonts w:asciiTheme="minorHAnsi" w:hAnsiTheme="minorHAnsi" w:cstheme="minorHAnsi"/>
        </w:rPr>
        <w:t>Společné prokazování kvalifikace</w:t>
      </w:r>
      <w:bookmarkEnd w:id="12"/>
      <w:bookmarkEnd w:id="13"/>
    </w:p>
    <w:p w14:paraId="33501740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splnění základní způsobilosti dle § 74 zákona každý dodavatel samostatně.</w:t>
      </w:r>
    </w:p>
    <w:p w14:paraId="2298BE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základní způsobilost a profesní způsobilost podle § 77 odst. 1 každý dodavatel samostatně.</w:t>
      </w:r>
    </w:p>
    <w:p w14:paraId="58DAB70C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v souladu s § 103 odst. 1 písm. f) zákona požaduje, aby v případě společné účasti dodavatelů v nabídce doložili společné a nerozdílné rozdělení odpovědnosti za plnění veřejné zakázky.</w:t>
      </w:r>
    </w:p>
    <w:p w14:paraId="59AD2565" w14:textId="77777777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4" w:name="_Toc526932410"/>
      <w:bookmarkStart w:id="15" w:name="_Toc107385049"/>
      <w:r w:rsidRPr="00E5344A">
        <w:rPr>
          <w:rFonts w:asciiTheme="minorHAnsi" w:hAnsiTheme="minorHAnsi" w:cstheme="minorHAnsi"/>
        </w:rPr>
        <w:t>Použití výpisu ze seznamu kvalifikovaných dodavatelů</w:t>
      </w:r>
      <w:bookmarkEnd w:id="14"/>
      <w:bookmarkEnd w:id="15"/>
    </w:p>
    <w:p w14:paraId="62806BF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zadavateli výpis ze seznamu kvalifikovaných dodavatelů ve lhůtě pro prokázání splnění kvalifikace, nahrazuje tento výpis prokázání splnění základní způsobilosti podle § 74 zákona a profesní způsobilosti podle § 77 zákona v tom rozsahu, v jakém doklady prokazující splnění profesní způsobilosti pokrývají požadavky veřejného zadavatele na prokázání splnění profesní způsobilosti pro plnění veřejné zakázky.</w:t>
      </w:r>
    </w:p>
    <w:p w14:paraId="73BA6E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 ze seznamu kvalifikovaných dodavatelů nesmí být k poslednímu dni, ke kterému má být prokázáno splnění kvalifikace, starší než 3 měsíce.</w:t>
      </w:r>
    </w:p>
    <w:p w14:paraId="523944F3" w14:textId="77777777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bookmarkStart w:id="16" w:name="_Toc526932411"/>
      <w:bookmarkStart w:id="17" w:name="_Toc107385050"/>
      <w:r w:rsidRPr="00E5344A">
        <w:rPr>
          <w:rFonts w:asciiTheme="minorHAnsi" w:hAnsiTheme="minorHAnsi" w:cstheme="minorHAnsi"/>
        </w:rPr>
        <w:t>Prokazování kvalifikace certifikátem</w:t>
      </w:r>
      <w:bookmarkEnd w:id="16"/>
      <w:bookmarkEnd w:id="17"/>
    </w:p>
    <w:p w14:paraId="7A170AFF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veřejnému zadavateli platný certifikát vydaný v rámci systému certifikovaných dodavatelů, který obsahuje náležitosti stanovené v § 239 zákona, nahrazuje tento certifikát v rozsahu v něm uvedených údajů prokázání splnění kvalifikace dodavatelem.</w:t>
      </w:r>
    </w:p>
    <w:p w14:paraId="610DC7FA" w14:textId="77777777" w:rsidR="00F71E60" w:rsidRPr="00E5344A" w:rsidRDefault="00F71E60" w:rsidP="00F71E60">
      <w:pPr>
        <w:pStyle w:val="Nadpis2"/>
        <w:ind w:left="578" w:hanging="578"/>
        <w:rPr>
          <w:rFonts w:asciiTheme="minorHAnsi" w:hAnsiTheme="minorHAnsi" w:cstheme="minorHAnsi"/>
          <w:szCs w:val="22"/>
        </w:rPr>
      </w:pPr>
      <w:bookmarkStart w:id="18" w:name="_Toc107385051"/>
      <w:r w:rsidRPr="00E5344A">
        <w:rPr>
          <w:rFonts w:asciiTheme="minorHAnsi" w:hAnsiTheme="minorHAnsi" w:cstheme="minorHAnsi"/>
          <w:szCs w:val="22"/>
        </w:rPr>
        <w:t>Změny v kvalifikaci</w:t>
      </w:r>
      <w:bookmarkEnd w:id="18"/>
    </w:p>
    <w:p w14:paraId="68BDBF06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Dojde-li od předložení dokladů, nebo prohlášení o kvalifikaci v průběhu zadávacího řízení k 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</w:t>
      </w:r>
    </w:p>
    <w:p w14:paraId="52563706" w14:textId="77777777" w:rsidR="00F71E60" w:rsidRPr="00E5344A" w:rsidRDefault="00F71E60" w:rsidP="00F71E60">
      <w:pPr>
        <w:rPr>
          <w:rFonts w:cstheme="minorHAnsi"/>
          <w:b/>
          <w:bCs/>
        </w:rPr>
      </w:pPr>
      <w:r w:rsidRPr="00E5344A">
        <w:rPr>
          <w:rFonts w:cstheme="minorHAnsi"/>
        </w:rPr>
        <w:t>Nesplnění této povinnosti je ve smyslu § 88 odst. 2 zákona důvodem pro bezodkladné vyloučení účastníka zadávacího řízení.</w:t>
      </w:r>
    </w:p>
    <w:p w14:paraId="268F1B2E" w14:textId="77777777" w:rsidR="00622C0F" w:rsidRPr="00E5344A" w:rsidRDefault="00622C0F">
      <w:pPr>
        <w:rPr>
          <w:rFonts w:cstheme="minorHAnsi"/>
        </w:rPr>
      </w:pPr>
    </w:p>
    <w:sectPr w:rsidR="00622C0F" w:rsidRPr="00E5344A" w:rsidSect="0022056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685" w14:textId="77777777" w:rsidR="00F71E60" w:rsidRDefault="00F71E60" w:rsidP="00F71E60">
      <w:pPr>
        <w:spacing w:after="0" w:line="240" w:lineRule="auto"/>
      </w:pPr>
      <w:r>
        <w:separator/>
      </w:r>
    </w:p>
  </w:endnote>
  <w:endnote w:type="continuationSeparator" w:id="0">
    <w:p w14:paraId="44F14AA7" w14:textId="77777777" w:rsidR="00F71E60" w:rsidRDefault="00F71E60" w:rsidP="00F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581B" w14:textId="77777777" w:rsidR="00F71E60" w:rsidRDefault="00F71E60" w:rsidP="00F71E60">
      <w:pPr>
        <w:spacing w:after="0" w:line="240" w:lineRule="auto"/>
      </w:pPr>
      <w:r>
        <w:separator/>
      </w:r>
    </w:p>
  </w:footnote>
  <w:footnote w:type="continuationSeparator" w:id="0">
    <w:p w14:paraId="27F21514" w14:textId="77777777" w:rsidR="00F71E60" w:rsidRDefault="00F71E60" w:rsidP="00F71E60">
      <w:pPr>
        <w:spacing w:after="0" w:line="240" w:lineRule="auto"/>
      </w:pPr>
      <w:r>
        <w:continuationSeparator/>
      </w:r>
    </w:p>
  </w:footnote>
  <w:footnote w:id="1">
    <w:p w14:paraId="507C2D9B" w14:textId="77777777" w:rsidR="00F71E60" w:rsidRDefault="00F71E60" w:rsidP="00F71E60">
      <w:pPr>
        <w:pStyle w:val="Textpoznpodarou"/>
        <w:rPr>
          <w:rFonts w:ascii="Arial" w:hAnsi="Arial" w:cs="Arial"/>
          <w:sz w:val="16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Podává-li nabídku pobočka závodu zahraniční právnické osoby, musí výše uvedené podmínky splňovat tato právnická osoba a vedoucí pobočky závodu. Podává-li nabídku pobočka závodu české právnické osoby, musí výše uvedené podmínky splňovat vedle výše uveden</w:t>
      </w:r>
      <w:r>
        <w:rPr>
          <w:rFonts w:ascii="Arial" w:hAnsi="Arial" w:cs="Arial"/>
          <w:sz w:val="16"/>
        </w:rPr>
        <w:t>ých osob rovněž vedoucí pobočky.</w:t>
      </w:r>
    </w:p>
    <w:p w14:paraId="46EE78D6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</w:p>
  </w:footnote>
  <w:footnote w:id="2">
    <w:p w14:paraId="459E884D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Za bezdlužnost dodavatele je podle zákona považován i stav, kdy má dodavatel se správcem daně nebo s příslušnou OSSZ na jakoukoli dlužnou částku dohodnut splátkový kalendář.</w:t>
      </w:r>
    </w:p>
  </w:footnote>
  <w:footnote w:id="3">
    <w:p w14:paraId="6DDFD4A7" w14:textId="77777777" w:rsidR="00F71E60" w:rsidRDefault="00F71E60" w:rsidP="00F71E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tj. seznam stavebních prací/seznam významných dodávek nebo služeb/</w:t>
      </w:r>
      <w:r w:rsidRPr="00CC7FB1">
        <w:t>osvědčení o vzdělání a odborné kvalifikaci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1D4"/>
    <w:multiLevelType w:val="hybridMultilevel"/>
    <w:tmpl w:val="A740DE78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45D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A1D"/>
    <w:multiLevelType w:val="hybridMultilevel"/>
    <w:tmpl w:val="404AA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7FC0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55C4"/>
    <w:multiLevelType w:val="hybridMultilevel"/>
    <w:tmpl w:val="34646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73"/>
    <w:multiLevelType w:val="multilevel"/>
    <w:tmpl w:val="2950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631D5"/>
    <w:multiLevelType w:val="multilevel"/>
    <w:tmpl w:val="E1E46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172C37"/>
    <w:multiLevelType w:val="multilevel"/>
    <w:tmpl w:val="5FC22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AA2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F312F2"/>
    <w:multiLevelType w:val="hybridMultilevel"/>
    <w:tmpl w:val="DD00E38C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38024">
    <w:abstractNumId w:val="7"/>
  </w:num>
  <w:num w:numId="2" w16cid:durableId="342052653">
    <w:abstractNumId w:val="4"/>
  </w:num>
  <w:num w:numId="3" w16cid:durableId="632953575">
    <w:abstractNumId w:val="1"/>
  </w:num>
  <w:num w:numId="4" w16cid:durableId="1047142883">
    <w:abstractNumId w:val="3"/>
  </w:num>
  <w:num w:numId="5" w16cid:durableId="715661583">
    <w:abstractNumId w:val="2"/>
  </w:num>
  <w:num w:numId="6" w16cid:durableId="2144423012">
    <w:abstractNumId w:val="9"/>
  </w:num>
  <w:num w:numId="7" w16cid:durableId="58209003">
    <w:abstractNumId w:val="7"/>
  </w:num>
  <w:num w:numId="8" w16cid:durableId="30613274">
    <w:abstractNumId w:val="7"/>
  </w:num>
  <w:num w:numId="9" w16cid:durableId="54161271">
    <w:abstractNumId w:val="8"/>
  </w:num>
  <w:num w:numId="10" w16cid:durableId="135682326">
    <w:abstractNumId w:val="7"/>
  </w:num>
  <w:num w:numId="11" w16cid:durableId="1958758099">
    <w:abstractNumId w:val="7"/>
  </w:num>
  <w:num w:numId="12" w16cid:durableId="1779836337">
    <w:abstractNumId w:val="5"/>
  </w:num>
  <w:num w:numId="13" w16cid:durableId="1135563347">
    <w:abstractNumId w:val="0"/>
  </w:num>
  <w:num w:numId="14" w16cid:durableId="1470394264">
    <w:abstractNumId w:val="6"/>
  </w:num>
  <w:num w:numId="15" w16cid:durableId="163343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0"/>
    <w:rsid w:val="000A6F4F"/>
    <w:rsid w:val="00122F24"/>
    <w:rsid w:val="001F7872"/>
    <w:rsid w:val="00220560"/>
    <w:rsid w:val="002E1A78"/>
    <w:rsid w:val="003918B2"/>
    <w:rsid w:val="003C5D8D"/>
    <w:rsid w:val="003F0EB2"/>
    <w:rsid w:val="00410330"/>
    <w:rsid w:val="004911E3"/>
    <w:rsid w:val="004A7473"/>
    <w:rsid w:val="00513C23"/>
    <w:rsid w:val="0054135A"/>
    <w:rsid w:val="005808DE"/>
    <w:rsid w:val="0059359A"/>
    <w:rsid w:val="005B1AC9"/>
    <w:rsid w:val="005B214F"/>
    <w:rsid w:val="005D6D19"/>
    <w:rsid w:val="00622C0F"/>
    <w:rsid w:val="00623F3A"/>
    <w:rsid w:val="00630835"/>
    <w:rsid w:val="00663A91"/>
    <w:rsid w:val="006849CD"/>
    <w:rsid w:val="00692F5A"/>
    <w:rsid w:val="006D45BD"/>
    <w:rsid w:val="006F0972"/>
    <w:rsid w:val="0071627B"/>
    <w:rsid w:val="00733940"/>
    <w:rsid w:val="00773ED0"/>
    <w:rsid w:val="007814D9"/>
    <w:rsid w:val="0086786F"/>
    <w:rsid w:val="008A0CCA"/>
    <w:rsid w:val="008A502F"/>
    <w:rsid w:val="008A6442"/>
    <w:rsid w:val="008D7D1C"/>
    <w:rsid w:val="009731CF"/>
    <w:rsid w:val="009A64A3"/>
    <w:rsid w:val="009D3DB5"/>
    <w:rsid w:val="009E258E"/>
    <w:rsid w:val="00AB0457"/>
    <w:rsid w:val="00B47524"/>
    <w:rsid w:val="00B51B38"/>
    <w:rsid w:val="00B77252"/>
    <w:rsid w:val="00BB121F"/>
    <w:rsid w:val="00BF1659"/>
    <w:rsid w:val="00CA03F9"/>
    <w:rsid w:val="00CB2849"/>
    <w:rsid w:val="00D60A0A"/>
    <w:rsid w:val="00DB2418"/>
    <w:rsid w:val="00DC5CAD"/>
    <w:rsid w:val="00DC7D32"/>
    <w:rsid w:val="00E5344A"/>
    <w:rsid w:val="00EA7E7F"/>
    <w:rsid w:val="00EC0F97"/>
    <w:rsid w:val="00F02A90"/>
    <w:rsid w:val="00F04B5D"/>
    <w:rsid w:val="00F71E60"/>
    <w:rsid w:val="00F761B2"/>
    <w:rsid w:val="00F800CA"/>
    <w:rsid w:val="00F81EDE"/>
    <w:rsid w:val="00F843F8"/>
    <w:rsid w:val="00F95376"/>
    <w:rsid w:val="00F9592F"/>
    <w:rsid w:val="00FA3470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F6F5"/>
  <w15:chartTrackingRefBased/>
  <w15:docId w15:val="{67E830C0-03E3-4FEB-AB2B-55DF9EF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972"/>
  </w:style>
  <w:style w:type="paragraph" w:styleId="Nadpis1">
    <w:name w:val="heading 1"/>
    <w:basedOn w:val="Formatdokument"/>
    <w:next w:val="Normln"/>
    <w:link w:val="Nadpis1Char"/>
    <w:qFormat/>
    <w:rsid w:val="00CB2849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1E60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paragraph" w:styleId="Nadpis3">
    <w:name w:val="heading 3"/>
    <w:basedOn w:val="Default"/>
    <w:next w:val="Normln"/>
    <w:link w:val="Nadpis3Char"/>
    <w:qFormat/>
    <w:rsid w:val="00CB2849"/>
    <w:pPr>
      <w:numPr>
        <w:ilvl w:val="1"/>
        <w:numId w:val="14"/>
      </w:numPr>
      <w:tabs>
        <w:tab w:val="left" w:pos="284"/>
      </w:tabs>
      <w:spacing w:after="60"/>
      <w:jc w:val="both"/>
      <w:outlineLvl w:val="2"/>
    </w:pPr>
    <w:rPr>
      <w:rFonts w:ascii="Calibri" w:hAnsi="Calibri" w:cs="Calibri"/>
      <w:b/>
      <w:bCs/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E60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E60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E60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E6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E6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E6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849"/>
    <w:rPr>
      <w:rFonts w:ascii="Calibri" w:eastAsia="Times New Roman" w:hAnsi="Calibri" w:cs="Calibri"/>
      <w:b/>
      <w:kern w:val="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71E60"/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rsid w:val="00CB2849"/>
    <w:rPr>
      <w:rFonts w:ascii="Calibri" w:hAnsi="Calibri" w:cs="Calibri"/>
      <w:b/>
      <w:bCs/>
      <w:color w:val="000000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E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E6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E6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E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E6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E6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Default">
    <w:name w:val="Default"/>
    <w:link w:val="DefaultChar"/>
    <w:rsid w:val="00F71E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1E6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1E60"/>
    <w:rPr>
      <w:kern w:val="0"/>
      <w:sz w:val="20"/>
      <w:szCs w:val="20"/>
      <w14:ligatures w14:val="none"/>
    </w:rPr>
  </w:style>
  <w:style w:type="paragraph" w:customStyle="1" w:styleId="odstavec">
    <w:name w:val="odstavec"/>
    <w:basedOn w:val="Default"/>
    <w:link w:val="odstavecChar"/>
    <w:qFormat/>
    <w:rsid w:val="00F71E60"/>
    <w:pPr>
      <w:spacing w:after="120"/>
      <w:jc w:val="both"/>
    </w:pPr>
    <w:rPr>
      <w:rFonts w:cs="Arial"/>
      <w:szCs w:val="20"/>
    </w:rPr>
  </w:style>
  <w:style w:type="character" w:customStyle="1" w:styleId="DefaultChar">
    <w:name w:val="Default Char"/>
    <w:basedOn w:val="Standardnpsmoodstavce"/>
    <w:link w:val="Default"/>
    <w:rsid w:val="00F71E60"/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customStyle="1" w:styleId="odstavecChar">
    <w:name w:val="odstavec Char"/>
    <w:basedOn w:val="DefaultChar"/>
    <w:link w:val="odstavec"/>
    <w:rsid w:val="00F71E60"/>
    <w:rPr>
      <w:rFonts w:ascii="Tahoma" w:hAnsi="Tahoma" w:cs="Arial"/>
      <w:color w:val="000000"/>
      <w:kern w:val="0"/>
      <w:sz w:val="24"/>
      <w:szCs w:val="20"/>
      <w:lang w:val="en-GB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F71E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F71E6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71E6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11E3"/>
    <w:pPr>
      <w:ind w:left="720"/>
      <w:contextualSpacing/>
    </w:pPr>
  </w:style>
  <w:style w:type="paragraph" w:customStyle="1" w:styleId="Formatdokument">
    <w:name w:val="Format_dokument"/>
    <w:basedOn w:val="Nadpis2"/>
    <w:link w:val="FormatdokumentChar"/>
    <w:rsid w:val="00CB2849"/>
    <w:pPr>
      <w:ind w:left="578" w:hanging="578"/>
    </w:pPr>
    <w:rPr>
      <w:rFonts w:ascii="Calibri" w:hAnsi="Calibri" w:cs="Calibri"/>
      <w:szCs w:val="22"/>
    </w:rPr>
  </w:style>
  <w:style w:type="character" w:customStyle="1" w:styleId="FormatdokumentChar">
    <w:name w:val="Format_dokument Char"/>
    <w:basedOn w:val="Nadpis2Char"/>
    <w:link w:val="Formatdokument"/>
    <w:rsid w:val="00CB2849"/>
    <w:rPr>
      <w:rFonts w:ascii="Calibri" w:eastAsia="Times New Roman" w:hAnsi="Calibri" w:cs="Calibri"/>
      <w:b/>
      <w:kern w:val="0"/>
      <w:szCs w:val="20"/>
      <w:lang w:eastAsia="ko-KR"/>
      <w14:ligatures w14:val="none"/>
    </w:rPr>
  </w:style>
  <w:style w:type="character" w:styleId="Hypertextovodkaz">
    <w:name w:val="Hyperlink"/>
    <w:basedOn w:val="Standardnpsmoodstavce"/>
    <w:unhideWhenUsed/>
    <w:rsid w:val="008A6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644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5BD"/>
    <w:pPr>
      <w:spacing w:after="160"/>
    </w:pPr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524"/>
  </w:style>
  <w:style w:type="paragraph" w:styleId="Zpat">
    <w:name w:val="footer"/>
    <w:basedOn w:val="Normln"/>
    <w:link w:val="Zpat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524"/>
  </w:style>
  <w:style w:type="paragraph" w:styleId="Zkladntext">
    <w:name w:val="Body Text"/>
    <w:aliases w:val="subtitle2,Základní tZákladní text"/>
    <w:basedOn w:val="Normln"/>
    <w:link w:val="ZkladntextChar"/>
    <w:rsid w:val="002205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22056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certi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671E-4304-4468-BD55-9A9ECD5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Rojova</dc:creator>
  <cp:keywords/>
  <dc:description/>
  <cp:lastModifiedBy>Veronika Rucká</cp:lastModifiedBy>
  <cp:revision>2</cp:revision>
  <dcterms:created xsi:type="dcterms:W3CDTF">2026-02-06T09:06:00Z</dcterms:created>
  <dcterms:modified xsi:type="dcterms:W3CDTF">2026-02-06T09:06:00Z</dcterms:modified>
</cp:coreProperties>
</file>