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3905A486" w:rsidR="00D555C3" w:rsidRPr="00982D1D" w:rsidRDefault="00C5549D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5549D">
              <w:rPr>
                <w:rFonts w:asciiTheme="minorHAnsi" w:hAnsiTheme="minorHAnsi" w:cstheme="minorHAnsi"/>
                <w:b/>
              </w:rPr>
              <w:t xml:space="preserve">Laser </w:t>
            </w:r>
            <w:proofErr w:type="spellStart"/>
            <w:r w:rsidRPr="00C5549D">
              <w:rPr>
                <w:rFonts w:asciiTheme="minorHAnsi" w:hAnsiTheme="minorHAnsi" w:cstheme="minorHAnsi"/>
                <w:b/>
              </w:rPr>
              <w:t>Flash</w:t>
            </w:r>
            <w:proofErr w:type="spellEnd"/>
            <w:r w:rsidRPr="00C5549D">
              <w:rPr>
                <w:rFonts w:asciiTheme="minorHAnsi" w:hAnsiTheme="minorHAnsi" w:cstheme="minorHAnsi"/>
                <w:b/>
              </w:rPr>
              <w:t xml:space="preserve"> Analyzátor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FC2D02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285F3D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285F3D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285F3D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AFD4BA0" w:rsidR="00C07DA8" w:rsidRPr="00571A70" w:rsidRDefault="00571A70" w:rsidP="00933901">
      <w:pPr>
        <w:tabs>
          <w:tab w:val="left" w:pos="6746"/>
        </w:tabs>
        <w:ind w:right="401"/>
        <w:jc w:val="right"/>
        <w:rPr>
          <w:i/>
          <w:sz w:val="20"/>
          <w:szCs w:val="20"/>
        </w:rPr>
      </w:pPr>
      <w:r>
        <w:tab/>
      </w:r>
      <w:r w:rsidR="00933901">
        <w:rPr>
          <w:noProof/>
        </w:rPr>
        <w:drawing>
          <wp:inline distT="0" distB="0" distL="0" distR="0" wp14:anchorId="4C7672BE" wp14:editId="566C120C">
            <wp:extent cx="5761355" cy="46926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69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56863">
        <w:t xml:space="preserve">                            </w:t>
      </w:r>
      <w:r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9EDE" w14:textId="77777777" w:rsidR="00A8579A" w:rsidRDefault="00A8579A" w:rsidP="00064033">
      <w:r>
        <w:separator/>
      </w:r>
    </w:p>
  </w:endnote>
  <w:endnote w:type="continuationSeparator" w:id="0">
    <w:p w14:paraId="3B938BA3" w14:textId="77777777" w:rsidR="00A8579A" w:rsidRDefault="00A8579A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F947" w14:textId="77777777" w:rsidR="00A8579A" w:rsidRDefault="00A8579A" w:rsidP="00064033">
      <w:r>
        <w:separator/>
      </w:r>
    </w:p>
  </w:footnote>
  <w:footnote w:type="continuationSeparator" w:id="0">
    <w:p w14:paraId="73C7B5E7" w14:textId="77777777" w:rsidR="00A8579A" w:rsidRDefault="00A8579A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D5CC7"/>
    <w:rsid w:val="001E2C5B"/>
    <w:rsid w:val="001E34F8"/>
    <w:rsid w:val="001E5F1C"/>
    <w:rsid w:val="001E6471"/>
    <w:rsid w:val="001F6F70"/>
    <w:rsid w:val="00200012"/>
    <w:rsid w:val="0020173E"/>
    <w:rsid w:val="00205743"/>
    <w:rsid w:val="00227373"/>
    <w:rsid w:val="00232BBE"/>
    <w:rsid w:val="00236A7B"/>
    <w:rsid w:val="00245FB2"/>
    <w:rsid w:val="002476CA"/>
    <w:rsid w:val="002523E4"/>
    <w:rsid w:val="002746BD"/>
    <w:rsid w:val="00280CA1"/>
    <w:rsid w:val="00285F3D"/>
    <w:rsid w:val="00287C00"/>
    <w:rsid w:val="002901B2"/>
    <w:rsid w:val="002908B4"/>
    <w:rsid w:val="00292EE5"/>
    <w:rsid w:val="00294E63"/>
    <w:rsid w:val="002A4EB6"/>
    <w:rsid w:val="002C6A88"/>
    <w:rsid w:val="002D063B"/>
    <w:rsid w:val="002D3EBA"/>
    <w:rsid w:val="002D4CB4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37662"/>
    <w:rsid w:val="00480DBA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1D4D"/>
    <w:rsid w:val="00692B08"/>
    <w:rsid w:val="006B34B0"/>
    <w:rsid w:val="006C14CE"/>
    <w:rsid w:val="006C47B5"/>
    <w:rsid w:val="006D7E6C"/>
    <w:rsid w:val="0070067B"/>
    <w:rsid w:val="00711DC4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B5B14"/>
    <w:rsid w:val="008C4815"/>
    <w:rsid w:val="008C7169"/>
    <w:rsid w:val="008F091F"/>
    <w:rsid w:val="008F2C13"/>
    <w:rsid w:val="008F3947"/>
    <w:rsid w:val="008F3CE8"/>
    <w:rsid w:val="008F4977"/>
    <w:rsid w:val="008F77B2"/>
    <w:rsid w:val="008F7BAA"/>
    <w:rsid w:val="00900700"/>
    <w:rsid w:val="00915F37"/>
    <w:rsid w:val="009269F3"/>
    <w:rsid w:val="00932FF9"/>
    <w:rsid w:val="00933901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9EB"/>
    <w:rsid w:val="009C2B41"/>
    <w:rsid w:val="00A05BB3"/>
    <w:rsid w:val="00A12C8B"/>
    <w:rsid w:val="00A238FF"/>
    <w:rsid w:val="00A41DA4"/>
    <w:rsid w:val="00A62BC6"/>
    <w:rsid w:val="00A7405C"/>
    <w:rsid w:val="00A74C7B"/>
    <w:rsid w:val="00A8579A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5549D"/>
    <w:rsid w:val="00C63818"/>
    <w:rsid w:val="00C753A3"/>
    <w:rsid w:val="00C81C1D"/>
    <w:rsid w:val="00CA14C2"/>
    <w:rsid w:val="00CA41D3"/>
    <w:rsid w:val="00CE19AC"/>
    <w:rsid w:val="00CE5131"/>
    <w:rsid w:val="00D04CF3"/>
    <w:rsid w:val="00D140A8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A5A30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0724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customXml/itemProps3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46FA1-FE7C-46C8-A23A-265354A53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6</TotalTime>
  <Pages>1</Pages>
  <Words>260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Marie Kubešová</cp:lastModifiedBy>
  <cp:revision>4</cp:revision>
  <cp:lastPrinted>2018-04-10T07:32:00Z</cp:lastPrinted>
  <dcterms:created xsi:type="dcterms:W3CDTF">2025-11-11T06:56:00Z</dcterms:created>
  <dcterms:modified xsi:type="dcterms:W3CDTF">2025-12-10T09:57:00Z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