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6BE98587" w:rsidR="008A5E9A" w:rsidRPr="00730EEA" w:rsidRDefault="00730EEA" w:rsidP="003A732D">
      <w:pPr>
        <w:keepLines/>
        <w:widowControl w:val="0"/>
        <w:tabs>
          <w:tab w:val="left" w:pos="3119"/>
        </w:tabs>
        <w:spacing w:before="120" w:after="0" w:line="240" w:lineRule="auto"/>
        <w:jc w:val="both"/>
        <w:rPr>
          <w:rFonts w:ascii="Tahoma" w:hAnsi="Tahoma" w:cs="Tahoma"/>
          <w:sz w:val="20"/>
          <w:szCs w:val="20"/>
          <w:lang w:val="pl-PL"/>
        </w:rPr>
      </w:pPr>
      <w:r w:rsidRPr="00730EEA">
        <w:rPr>
          <w:rFonts w:ascii="Tahoma" w:hAnsi="Tahoma" w:cs="Tahoma"/>
          <w:b/>
          <w:bCs/>
          <w:sz w:val="20"/>
          <w:szCs w:val="20"/>
        </w:rPr>
        <w:t>Vysoká škola báňská – Technická univerzita Ostrava</w:t>
      </w:r>
    </w:p>
    <w:p w14:paraId="4CEE8238" w14:textId="5B0AFF6D" w:rsidR="008A5E9A" w:rsidRPr="00730EEA"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730EEA">
        <w:rPr>
          <w:rFonts w:ascii="Tahoma" w:hAnsi="Tahoma" w:cs="Tahoma"/>
          <w:sz w:val="20"/>
          <w:szCs w:val="20"/>
        </w:rPr>
        <w:t>se sídlem:</w:t>
      </w:r>
      <w:r w:rsidRPr="00730EEA">
        <w:rPr>
          <w:rFonts w:ascii="Tahoma" w:hAnsi="Tahoma" w:cs="Tahoma"/>
          <w:sz w:val="20"/>
          <w:szCs w:val="20"/>
        </w:rPr>
        <w:tab/>
      </w:r>
      <w:r w:rsidR="002E09BE" w:rsidRPr="00730EEA">
        <w:rPr>
          <w:rFonts w:ascii="Tahoma" w:hAnsi="Tahoma" w:cs="Tahoma"/>
          <w:sz w:val="20"/>
          <w:szCs w:val="20"/>
        </w:rPr>
        <w:tab/>
      </w:r>
      <w:r w:rsidR="00730EEA" w:rsidRPr="00730EEA">
        <w:rPr>
          <w:rFonts w:ascii="Tahoma" w:hAnsi="Tahoma" w:cs="Tahoma"/>
          <w:sz w:val="20"/>
          <w:szCs w:val="20"/>
        </w:rPr>
        <w:t>17. listopadu 2172/15, 708 00 Ostrava-Poruba</w:t>
      </w:r>
    </w:p>
    <w:p w14:paraId="75066E24" w14:textId="7F5EEBD3" w:rsidR="003751ED" w:rsidRPr="00730EEA"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730EEA">
        <w:rPr>
          <w:rFonts w:ascii="Tahoma" w:hAnsi="Tahoma" w:cs="Tahoma"/>
          <w:sz w:val="20"/>
          <w:szCs w:val="20"/>
        </w:rPr>
        <w:t>zastoupen</w:t>
      </w:r>
      <w:r w:rsidR="007A10FC" w:rsidRPr="00730EEA">
        <w:rPr>
          <w:rFonts w:ascii="Tahoma" w:hAnsi="Tahoma" w:cs="Tahoma"/>
          <w:sz w:val="20"/>
          <w:szCs w:val="20"/>
        </w:rPr>
        <w:t>a</w:t>
      </w:r>
      <w:r w:rsidRPr="00730EEA">
        <w:rPr>
          <w:rFonts w:ascii="Tahoma" w:hAnsi="Tahoma" w:cs="Tahoma"/>
          <w:sz w:val="20"/>
          <w:szCs w:val="20"/>
        </w:rPr>
        <w:t>:</w:t>
      </w:r>
      <w:r w:rsidRPr="00730EEA">
        <w:rPr>
          <w:rFonts w:ascii="Tahoma" w:hAnsi="Tahoma" w:cs="Tahoma"/>
          <w:sz w:val="20"/>
          <w:szCs w:val="20"/>
        </w:rPr>
        <w:tab/>
      </w:r>
      <w:r w:rsidR="00730EEA" w:rsidRPr="00730EEA">
        <w:rPr>
          <w:rFonts w:ascii="Tahoma" w:hAnsi="Tahoma" w:cs="Tahoma"/>
          <w:sz w:val="20"/>
          <w:szCs w:val="20"/>
        </w:rPr>
        <w:t>prof. Ing. Igorem Ivanem, Ph.D., rektorem</w:t>
      </w:r>
    </w:p>
    <w:p w14:paraId="12BC4614" w14:textId="77777777" w:rsidR="003751ED" w:rsidRPr="00730EEA" w:rsidRDefault="003751ED" w:rsidP="00E8258F">
      <w:pPr>
        <w:keepLines/>
        <w:spacing w:before="120" w:after="0" w:line="240" w:lineRule="auto"/>
        <w:jc w:val="both"/>
        <w:rPr>
          <w:rFonts w:ascii="Tahoma" w:hAnsi="Tahoma" w:cs="Tahoma"/>
          <w:sz w:val="20"/>
          <w:szCs w:val="20"/>
        </w:rPr>
      </w:pPr>
      <w:r w:rsidRPr="00730EEA">
        <w:rPr>
          <w:rFonts w:ascii="Tahoma" w:hAnsi="Tahoma" w:cs="Tahoma"/>
          <w:sz w:val="20"/>
          <w:szCs w:val="20"/>
        </w:rPr>
        <w:t>pověřené osoby pro styk s prodávajícím:</w:t>
      </w:r>
    </w:p>
    <w:p w14:paraId="23BCCFB4" w14:textId="5C2FBEB8" w:rsidR="00FC72FF" w:rsidRPr="00730EEA" w:rsidRDefault="00730EEA" w:rsidP="00E8258F">
      <w:pPr>
        <w:keepLines/>
        <w:spacing w:before="120" w:after="0" w:line="240" w:lineRule="auto"/>
        <w:ind w:left="1134"/>
        <w:jc w:val="both"/>
        <w:rPr>
          <w:rFonts w:ascii="Tahoma" w:hAnsi="Tahoma" w:cs="Tahoma"/>
          <w:sz w:val="20"/>
          <w:szCs w:val="20"/>
        </w:rPr>
      </w:pPr>
      <w:r w:rsidRPr="00730EEA">
        <w:rPr>
          <w:rFonts w:ascii="Tahoma" w:hAnsi="Tahoma" w:cs="Tahoma"/>
          <w:sz w:val="20"/>
          <w:szCs w:val="20"/>
        </w:rPr>
        <w:t xml:space="preserve">Ing. Vojtěch </w:t>
      </w:r>
      <w:proofErr w:type="spellStart"/>
      <w:r w:rsidRPr="00730EEA">
        <w:rPr>
          <w:rFonts w:ascii="Tahoma" w:hAnsi="Tahoma" w:cs="Tahoma"/>
          <w:sz w:val="20"/>
          <w:szCs w:val="20"/>
        </w:rPr>
        <w:t>Jankůj</w:t>
      </w:r>
      <w:proofErr w:type="spellEnd"/>
      <w:r w:rsidRPr="00730EEA">
        <w:rPr>
          <w:rFonts w:ascii="Tahoma" w:hAnsi="Tahoma" w:cs="Tahoma"/>
          <w:sz w:val="20"/>
          <w:szCs w:val="20"/>
        </w:rPr>
        <w:t>, Ph.D., e-mail: vojtech.jankuj@vsb.cz, tel.: 596 992 864</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730EEA">
        <w:rPr>
          <w:rFonts w:ascii="Tahoma" w:hAnsi="Tahoma" w:cs="Tahoma"/>
          <w:sz w:val="20"/>
          <w:szCs w:val="20"/>
        </w:rPr>
        <w:t>IČO:</w:t>
      </w:r>
      <w:r w:rsidRPr="00730EEA">
        <w:rPr>
          <w:rFonts w:ascii="Tahoma" w:hAnsi="Tahoma" w:cs="Tahoma"/>
          <w:sz w:val="20"/>
          <w:szCs w:val="20"/>
        </w:rPr>
        <w:tab/>
      </w:r>
      <w:r w:rsidRPr="00730EEA">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2FB02BC1" w:rsidR="00A132AB" w:rsidRPr="00730EEA"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730EEA">
        <w:rPr>
          <w:rFonts w:ascii="Tahoma" w:hAnsi="Tahoma" w:cs="Tahoma"/>
          <w:sz w:val="20"/>
          <w:szCs w:val="20"/>
        </w:rPr>
        <w:t xml:space="preserve">prodávajícím uzavírají tuto smlouvu v návaznosti na výsledek </w:t>
      </w:r>
      <w:r w:rsidR="00E25C7A" w:rsidRPr="00730EEA">
        <w:rPr>
          <w:rFonts w:ascii="Tahoma" w:hAnsi="Tahoma" w:cs="Tahoma"/>
          <w:sz w:val="20"/>
          <w:szCs w:val="20"/>
        </w:rPr>
        <w:t>zadávacího</w:t>
      </w:r>
      <w:r w:rsidRPr="00730EEA">
        <w:rPr>
          <w:rFonts w:ascii="Tahoma" w:hAnsi="Tahoma" w:cs="Tahoma"/>
          <w:sz w:val="20"/>
          <w:szCs w:val="20"/>
        </w:rPr>
        <w:t xml:space="preserve"> řízení veřejné zakázky s názvem </w:t>
      </w:r>
      <w:r w:rsidR="00E25C7A" w:rsidRPr="00730EEA">
        <w:rPr>
          <w:rFonts w:ascii="Tahoma" w:hAnsi="Tahoma" w:cs="Tahoma"/>
          <w:sz w:val="20"/>
          <w:szCs w:val="20"/>
        </w:rPr>
        <w:t>„</w:t>
      </w:r>
      <w:r w:rsidR="00730EEA" w:rsidRPr="00730EEA">
        <w:rPr>
          <w:rFonts w:ascii="Tahoma" w:hAnsi="Tahoma" w:cs="Tahoma"/>
          <w:sz w:val="20"/>
          <w:szCs w:val="20"/>
        </w:rPr>
        <w:t>Tlakové lahve pro vodík</w:t>
      </w:r>
      <w:r w:rsidR="00E25C7A" w:rsidRPr="00730EEA">
        <w:rPr>
          <w:rFonts w:ascii="Tahoma" w:hAnsi="Tahoma" w:cs="Tahoma"/>
          <w:sz w:val="20"/>
          <w:szCs w:val="20"/>
        </w:rPr>
        <w:t>“</w:t>
      </w:r>
      <w:r w:rsidRPr="00730EEA">
        <w:rPr>
          <w:rFonts w:ascii="Tahoma" w:hAnsi="Tahoma" w:cs="Tahoma"/>
          <w:sz w:val="20"/>
          <w:szCs w:val="20"/>
        </w:rPr>
        <w:t xml:space="preserve"> (dále jen „Veřejná zakázka“) </w:t>
      </w:r>
      <w:r w:rsidR="00724B29" w:rsidRPr="00730EEA">
        <w:rPr>
          <w:rFonts w:ascii="Tahoma" w:hAnsi="Tahoma" w:cs="Tahoma"/>
          <w:sz w:val="20"/>
          <w:szCs w:val="20"/>
        </w:rPr>
        <w:t xml:space="preserve">zadávané </w:t>
      </w:r>
      <w:r w:rsidRPr="00730EEA">
        <w:rPr>
          <w:rFonts w:ascii="Tahoma" w:hAnsi="Tahoma" w:cs="Tahoma"/>
          <w:sz w:val="20"/>
          <w:szCs w:val="20"/>
        </w:rPr>
        <w:t>v rámci projekt</w:t>
      </w:r>
      <w:r w:rsidR="00724B29" w:rsidRPr="00730EEA">
        <w:rPr>
          <w:rFonts w:ascii="Tahoma" w:hAnsi="Tahoma" w:cs="Tahoma"/>
          <w:sz w:val="20"/>
          <w:szCs w:val="20"/>
        </w:rPr>
        <w:t>u</w:t>
      </w:r>
      <w:r w:rsidRPr="00730EEA">
        <w:rPr>
          <w:rFonts w:ascii="Tahoma" w:hAnsi="Tahoma" w:cs="Tahoma"/>
          <w:sz w:val="20"/>
          <w:szCs w:val="20"/>
        </w:rPr>
        <w:t xml:space="preserve"> </w:t>
      </w:r>
      <w:r w:rsidR="00E25C7A" w:rsidRPr="00730EEA">
        <w:rPr>
          <w:rFonts w:ascii="Tahoma" w:hAnsi="Tahoma" w:cs="Tahoma"/>
          <w:sz w:val="20"/>
          <w:szCs w:val="20"/>
        </w:rPr>
        <w:t>„</w:t>
      </w:r>
      <w:r w:rsidR="00730EEA" w:rsidRPr="00730EEA">
        <w:rPr>
          <w:rFonts w:ascii="Tahoma" w:hAnsi="Tahoma" w:cs="Tahoma"/>
          <w:sz w:val="20"/>
          <w:szCs w:val="20"/>
        </w:rPr>
        <w:t xml:space="preserve">REFRESH – </w:t>
      </w:r>
      <w:proofErr w:type="spellStart"/>
      <w:r w:rsidR="00730EEA" w:rsidRPr="00730EEA">
        <w:rPr>
          <w:rFonts w:ascii="Tahoma" w:hAnsi="Tahoma" w:cs="Tahoma"/>
          <w:sz w:val="20"/>
          <w:szCs w:val="20"/>
        </w:rPr>
        <w:t>Research</w:t>
      </w:r>
      <w:proofErr w:type="spellEnd"/>
      <w:r w:rsidR="00730EEA" w:rsidRPr="00730EEA">
        <w:rPr>
          <w:rFonts w:ascii="Tahoma" w:hAnsi="Tahoma" w:cs="Tahoma"/>
          <w:sz w:val="20"/>
          <w:szCs w:val="20"/>
        </w:rPr>
        <w:t xml:space="preserve"> Excellence </w:t>
      </w:r>
      <w:proofErr w:type="spellStart"/>
      <w:r w:rsidR="00730EEA" w:rsidRPr="00730EEA">
        <w:rPr>
          <w:rFonts w:ascii="Tahoma" w:hAnsi="Tahoma" w:cs="Tahoma"/>
          <w:sz w:val="20"/>
          <w:szCs w:val="20"/>
        </w:rPr>
        <w:t>For</w:t>
      </w:r>
      <w:proofErr w:type="spellEnd"/>
      <w:r w:rsidR="00730EEA" w:rsidRPr="00730EEA">
        <w:rPr>
          <w:rFonts w:ascii="Tahoma" w:hAnsi="Tahoma" w:cs="Tahoma"/>
          <w:sz w:val="20"/>
          <w:szCs w:val="20"/>
        </w:rPr>
        <w:t xml:space="preserve"> </w:t>
      </w:r>
      <w:proofErr w:type="spellStart"/>
      <w:r w:rsidR="00730EEA" w:rsidRPr="00730EEA">
        <w:rPr>
          <w:rFonts w:ascii="Tahoma" w:hAnsi="Tahoma" w:cs="Tahoma"/>
          <w:sz w:val="20"/>
          <w:szCs w:val="20"/>
        </w:rPr>
        <w:t>REgion</w:t>
      </w:r>
      <w:proofErr w:type="spellEnd"/>
      <w:r w:rsidR="00730EEA" w:rsidRPr="00730EEA">
        <w:rPr>
          <w:rFonts w:ascii="Tahoma" w:hAnsi="Tahoma" w:cs="Tahoma"/>
          <w:sz w:val="20"/>
          <w:szCs w:val="20"/>
        </w:rPr>
        <w:t xml:space="preserve"> </w:t>
      </w:r>
      <w:proofErr w:type="spellStart"/>
      <w:r w:rsidR="00730EEA" w:rsidRPr="00730EEA">
        <w:rPr>
          <w:rFonts w:ascii="Tahoma" w:hAnsi="Tahoma" w:cs="Tahoma"/>
          <w:sz w:val="20"/>
          <w:szCs w:val="20"/>
        </w:rPr>
        <w:t>Sustainability</w:t>
      </w:r>
      <w:proofErr w:type="spellEnd"/>
      <w:r w:rsidR="00730EEA" w:rsidRPr="00730EEA">
        <w:rPr>
          <w:rFonts w:ascii="Tahoma" w:hAnsi="Tahoma" w:cs="Tahoma"/>
          <w:sz w:val="20"/>
          <w:szCs w:val="20"/>
        </w:rPr>
        <w:t xml:space="preserve"> and High-tech </w:t>
      </w:r>
      <w:proofErr w:type="spellStart"/>
      <w:r w:rsidR="00730EEA" w:rsidRPr="00730EEA">
        <w:rPr>
          <w:rFonts w:ascii="Tahoma" w:hAnsi="Tahoma" w:cs="Tahoma"/>
          <w:sz w:val="20"/>
          <w:szCs w:val="20"/>
        </w:rPr>
        <w:t>Industries</w:t>
      </w:r>
      <w:proofErr w:type="spellEnd"/>
      <w:r w:rsidR="00E25C7A" w:rsidRPr="00730EEA">
        <w:rPr>
          <w:rFonts w:ascii="Tahoma" w:hAnsi="Tahoma" w:cs="Tahoma"/>
          <w:sz w:val="20"/>
          <w:szCs w:val="20"/>
        </w:rPr>
        <w:t>“</w:t>
      </w:r>
      <w:r w:rsidR="00991898" w:rsidRPr="00730EEA">
        <w:rPr>
          <w:rFonts w:ascii="Tahoma" w:hAnsi="Tahoma" w:cs="Tahoma"/>
          <w:sz w:val="20"/>
          <w:szCs w:val="20"/>
        </w:rPr>
        <w:t xml:space="preserve">, </w:t>
      </w:r>
      <w:proofErr w:type="spellStart"/>
      <w:r w:rsidR="00991898" w:rsidRPr="00730EEA">
        <w:rPr>
          <w:rFonts w:ascii="Tahoma" w:hAnsi="Tahoma" w:cs="Tahoma"/>
          <w:sz w:val="20"/>
          <w:szCs w:val="20"/>
        </w:rPr>
        <w:t>reg</w:t>
      </w:r>
      <w:proofErr w:type="spellEnd"/>
      <w:r w:rsidR="00991898" w:rsidRPr="00730EEA">
        <w:rPr>
          <w:rFonts w:ascii="Tahoma" w:hAnsi="Tahoma" w:cs="Tahoma"/>
          <w:sz w:val="20"/>
          <w:szCs w:val="20"/>
        </w:rPr>
        <w:t xml:space="preserve">. č. </w:t>
      </w:r>
      <w:r w:rsidR="00730EEA" w:rsidRPr="00730EEA">
        <w:rPr>
          <w:rFonts w:ascii="Tahoma" w:hAnsi="Tahoma" w:cs="Tahoma"/>
          <w:sz w:val="20"/>
          <w:szCs w:val="20"/>
        </w:rPr>
        <w:t>CZ.10.03.01/00/22_003/0000048</w:t>
      </w:r>
      <w:r w:rsidR="00724B29" w:rsidRPr="00730EEA">
        <w:rPr>
          <w:rFonts w:ascii="Tahoma" w:hAnsi="Tahoma" w:cs="Tahoma"/>
          <w:sz w:val="20"/>
          <w:szCs w:val="20"/>
        </w:rPr>
        <w:t xml:space="preserve"> </w:t>
      </w:r>
      <w:r w:rsidRPr="00730EEA">
        <w:rPr>
          <w:rFonts w:ascii="Tahoma" w:hAnsi="Tahoma" w:cs="Tahoma"/>
          <w:sz w:val="20"/>
          <w:szCs w:val="20"/>
        </w:rPr>
        <w:t xml:space="preserve">(dále jen „projekt“), </w:t>
      </w:r>
      <w:r w:rsidR="00E25C7A" w:rsidRPr="00730EEA">
        <w:rPr>
          <w:rFonts w:ascii="Tahoma" w:hAnsi="Tahoma" w:cs="Tahoma"/>
          <w:sz w:val="20"/>
          <w:szCs w:val="20"/>
        </w:rPr>
        <w:t xml:space="preserve">který je spolufinancován </w:t>
      </w:r>
      <w:proofErr w:type="gramStart"/>
      <w:r w:rsidR="00E25C7A" w:rsidRPr="00730EEA">
        <w:rPr>
          <w:rFonts w:ascii="Tahoma" w:hAnsi="Tahoma" w:cs="Tahoma"/>
          <w:sz w:val="20"/>
          <w:szCs w:val="20"/>
        </w:rPr>
        <w:t>z</w:t>
      </w:r>
      <w:proofErr w:type="gramEnd"/>
      <w:r w:rsidR="00E25C7A" w:rsidRPr="00730EEA">
        <w:rPr>
          <w:rFonts w:ascii="Tahoma" w:hAnsi="Tahoma" w:cs="Tahoma"/>
          <w:sz w:val="20"/>
          <w:szCs w:val="20"/>
        </w:rPr>
        <w:t xml:space="preserve"> </w:t>
      </w:r>
      <w:r w:rsidR="00730EEA" w:rsidRPr="00730EEA">
        <w:rPr>
          <w:rFonts w:ascii="Tahoma" w:hAnsi="Tahoma" w:cs="Tahoma"/>
          <w:sz w:val="20"/>
          <w:szCs w:val="20"/>
        </w:rPr>
        <w:t>Evropskou unií – Fondem spravedlivé transformace v rámci Operačního programu Spravedlivá transformace</w:t>
      </w:r>
      <w:r w:rsidR="002E09BE" w:rsidRPr="00730EEA">
        <w:rPr>
          <w:rFonts w:ascii="Tahoma" w:hAnsi="Tahoma" w:cs="Tahoma"/>
          <w:sz w:val="20"/>
          <w:szCs w:val="20"/>
        </w:rPr>
        <w:t xml:space="preserve"> </w:t>
      </w:r>
      <w:r w:rsidRPr="00730EEA">
        <w:rPr>
          <w:rFonts w:ascii="Tahoma" w:hAnsi="Tahoma" w:cs="Tahoma"/>
          <w:sz w:val="20"/>
          <w:szCs w:val="20"/>
        </w:rPr>
        <w:t xml:space="preserve">(dále jen </w:t>
      </w:r>
      <w:bookmarkStart w:id="0" w:name="_Hlk150083341"/>
      <w:r w:rsidR="00E25C7A" w:rsidRPr="00730EEA">
        <w:rPr>
          <w:rFonts w:ascii="Tahoma" w:hAnsi="Tahoma" w:cs="Tahoma"/>
          <w:sz w:val="20"/>
          <w:szCs w:val="20"/>
        </w:rPr>
        <w:t>„</w:t>
      </w:r>
      <w:r w:rsidR="00730EEA" w:rsidRPr="00730EEA">
        <w:rPr>
          <w:rFonts w:ascii="Tahoma" w:hAnsi="Tahoma" w:cs="Tahoma"/>
          <w:sz w:val="20"/>
          <w:szCs w:val="20"/>
        </w:rPr>
        <w:t>OP ST</w:t>
      </w:r>
      <w:bookmarkEnd w:id="0"/>
      <w:r w:rsidRPr="00730EEA">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6F4A314B" w:rsidR="00A132AB" w:rsidRPr="00730EEA"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730EEA">
        <w:rPr>
          <w:rFonts w:ascii="Tahoma" w:hAnsi="Tahoma" w:cs="Tahoma"/>
          <w:sz w:val="20"/>
          <w:szCs w:val="20"/>
        </w:rPr>
        <w:t>se</w:t>
      </w:r>
      <w:r w:rsidRPr="00730EEA">
        <w:rPr>
          <w:rFonts w:ascii="Tahoma" w:hAnsi="Tahoma" w:cs="Tahoma"/>
          <w:bCs/>
          <w:sz w:val="20"/>
          <w:szCs w:val="20"/>
        </w:rPr>
        <w:t xml:space="preserve"> na </w:t>
      </w:r>
      <w:r w:rsidRPr="00730EEA">
        <w:rPr>
          <w:rFonts w:ascii="Tahoma" w:hAnsi="Tahoma" w:cs="Tahoma"/>
          <w:sz w:val="20"/>
          <w:szCs w:val="20"/>
        </w:rPr>
        <w:t>základě</w:t>
      </w:r>
      <w:r w:rsidRPr="00730EEA">
        <w:rPr>
          <w:rFonts w:ascii="Tahoma" w:hAnsi="Tahoma" w:cs="Tahoma"/>
          <w:bCs/>
          <w:sz w:val="20"/>
          <w:szCs w:val="20"/>
        </w:rPr>
        <w:t xml:space="preserve"> této smlouvy zavazuje dodat kupujícímu toto zboží</w:t>
      </w:r>
      <w:r w:rsidR="00991898" w:rsidRPr="00730EEA">
        <w:rPr>
          <w:rFonts w:ascii="Tahoma" w:hAnsi="Tahoma" w:cs="Tahoma"/>
          <w:bCs/>
          <w:sz w:val="20"/>
          <w:szCs w:val="20"/>
        </w:rPr>
        <w:t xml:space="preserve"> </w:t>
      </w:r>
      <w:r w:rsidR="005C3C3A" w:rsidRPr="00730EEA">
        <w:rPr>
          <w:rFonts w:ascii="Tahoma" w:hAnsi="Tahoma" w:cs="Tahoma"/>
          <w:bCs/>
          <w:sz w:val="20"/>
          <w:szCs w:val="20"/>
        </w:rPr>
        <w:t>–</w:t>
      </w:r>
      <w:r w:rsidR="00724B29" w:rsidRPr="00730EEA">
        <w:rPr>
          <w:rFonts w:ascii="Tahoma" w:hAnsi="Tahoma" w:cs="Tahoma"/>
          <w:bCs/>
          <w:sz w:val="20"/>
          <w:szCs w:val="20"/>
        </w:rPr>
        <w:t xml:space="preserve"> </w:t>
      </w:r>
      <w:r w:rsidR="00730EEA" w:rsidRPr="00730EEA">
        <w:rPr>
          <w:rFonts w:ascii="Tahoma" w:hAnsi="Tahoma" w:cs="Tahoma"/>
          <w:b/>
          <w:bCs/>
          <w:sz w:val="20"/>
          <w:szCs w:val="20"/>
        </w:rPr>
        <w:t>6 ks tlakové lahve pro vodík</w:t>
      </w:r>
      <w:r w:rsidR="0090791C" w:rsidRPr="00730EEA">
        <w:rPr>
          <w:rFonts w:ascii="Tahoma" w:hAnsi="Tahoma" w:cs="Tahoma"/>
          <w:b/>
          <w:bCs/>
          <w:sz w:val="20"/>
          <w:szCs w:val="20"/>
          <w:lang w:val="cs-CZ"/>
        </w:rPr>
        <w:t xml:space="preserve"> </w:t>
      </w:r>
      <w:r w:rsidR="00247095" w:rsidRPr="00730EEA">
        <w:rPr>
          <w:rFonts w:ascii="Tahoma" w:hAnsi="Tahoma" w:cs="Tahoma"/>
          <w:bCs/>
          <w:sz w:val="20"/>
          <w:szCs w:val="20"/>
        </w:rPr>
        <w:t>(</w:t>
      </w:r>
      <w:r w:rsidR="004758EE" w:rsidRPr="00730EEA">
        <w:rPr>
          <w:rFonts w:ascii="Tahoma" w:hAnsi="Tahoma" w:cs="Tahoma"/>
          <w:bCs/>
          <w:sz w:val="20"/>
          <w:szCs w:val="20"/>
        </w:rPr>
        <w:t>dále jen „zboží“</w:t>
      </w:r>
      <w:r w:rsidR="00B202C0" w:rsidRPr="00730EEA">
        <w:rPr>
          <w:rFonts w:ascii="Tahoma" w:hAnsi="Tahoma" w:cs="Tahoma"/>
          <w:bCs/>
          <w:sz w:val="20"/>
          <w:szCs w:val="20"/>
        </w:rPr>
        <w:t xml:space="preserve"> či „zařízení“</w:t>
      </w:r>
      <w:r w:rsidR="00247095" w:rsidRPr="00730EEA">
        <w:rPr>
          <w:rFonts w:ascii="Tahoma" w:hAnsi="Tahoma" w:cs="Tahoma"/>
          <w:bCs/>
          <w:sz w:val="20"/>
          <w:szCs w:val="20"/>
        </w:rPr>
        <w:t>)</w:t>
      </w:r>
      <w:r w:rsidR="00247095" w:rsidRPr="00730EEA">
        <w:rPr>
          <w:rFonts w:ascii="Tahoma" w:hAnsi="Tahoma" w:cs="Tahoma"/>
          <w:sz w:val="20"/>
          <w:szCs w:val="20"/>
        </w:rPr>
        <w:t xml:space="preserve"> </w:t>
      </w:r>
      <w:r w:rsidR="00247095" w:rsidRPr="00730EEA">
        <w:rPr>
          <w:rFonts w:ascii="Tahoma" w:hAnsi="Tahoma" w:cs="Tahoma"/>
          <w:bCs/>
          <w:sz w:val="20"/>
          <w:szCs w:val="20"/>
        </w:rPr>
        <w:t xml:space="preserve">v rozsahu, jakosti a dle </w:t>
      </w:r>
      <w:r w:rsidR="00247095" w:rsidRPr="00730EEA">
        <w:rPr>
          <w:rFonts w:ascii="Tahoma" w:hAnsi="Tahoma" w:cs="Tahoma"/>
          <w:sz w:val="20"/>
          <w:szCs w:val="20"/>
        </w:rPr>
        <w:t>přesné</w:t>
      </w:r>
      <w:r w:rsidR="00247095" w:rsidRPr="00730EEA">
        <w:rPr>
          <w:rFonts w:ascii="Tahoma" w:hAnsi="Tahoma" w:cs="Tahoma"/>
          <w:bCs/>
          <w:sz w:val="20"/>
          <w:szCs w:val="20"/>
        </w:rPr>
        <w:t xml:space="preserve"> technické specifikace, která je uvedena v příloze č. 1 této smlouvy – Technická specifikace</w:t>
      </w:r>
      <w:r w:rsidR="004758EE" w:rsidRPr="00730EEA">
        <w:rPr>
          <w:rFonts w:ascii="Tahoma" w:hAnsi="Tahoma" w:cs="Tahoma"/>
          <w:bCs/>
          <w:sz w:val="20"/>
          <w:szCs w:val="20"/>
        </w:rPr>
        <w:t>.</w:t>
      </w:r>
      <w:r w:rsidR="001D0984" w:rsidRPr="00730EEA">
        <w:rPr>
          <w:rFonts w:ascii="Tahoma" w:hAnsi="Tahoma" w:cs="Tahoma"/>
          <w:bCs/>
          <w:sz w:val="20"/>
          <w:szCs w:val="20"/>
        </w:rPr>
        <w:t xml:space="preserve"> </w:t>
      </w:r>
    </w:p>
    <w:p w14:paraId="61A2FC80" w14:textId="6710086B" w:rsidR="00724B29" w:rsidRPr="005B11AC" w:rsidRDefault="00724B29" w:rsidP="00730EEA">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30EEA">
        <w:rPr>
          <w:rFonts w:ascii="Tahoma" w:hAnsi="Tahoma" w:cs="Tahoma"/>
          <w:bCs/>
          <w:sz w:val="20"/>
          <w:szCs w:val="20"/>
        </w:rPr>
        <w:t>Součásti dodávky</w:t>
      </w:r>
      <w:r w:rsidRPr="00FD4FE6">
        <w:rPr>
          <w:rFonts w:ascii="Tahoma" w:hAnsi="Tahoma" w:cs="Tahoma"/>
          <w:bCs/>
          <w:sz w:val="20"/>
          <w:szCs w:val="20"/>
        </w:rPr>
        <w:t xml:space="preserve">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730EEA">
        <w:rPr>
          <w:rFonts w:ascii="Tahoma" w:hAnsi="Tahoma" w:cs="Tahoma"/>
          <w:bCs/>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7E5B504C" w:rsidR="001C658A" w:rsidRPr="00730EEA"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xml:space="preserve">. této </w:t>
      </w:r>
      <w:r w:rsidRPr="00730EEA">
        <w:rPr>
          <w:rFonts w:ascii="Tahoma" w:hAnsi="Tahoma" w:cs="Tahoma"/>
          <w:bCs/>
          <w:sz w:val="20"/>
          <w:szCs w:val="20"/>
        </w:rPr>
        <w:t>smlouvy</w:t>
      </w:r>
      <w:r w:rsidR="002E09BE" w:rsidRPr="00730EEA">
        <w:rPr>
          <w:rFonts w:ascii="Tahoma" w:hAnsi="Tahoma" w:cs="Tahoma"/>
          <w:bCs/>
          <w:sz w:val="20"/>
          <w:szCs w:val="20"/>
        </w:rPr>
        <w:t xml:space="preserve"> (vyjma záručního servisu)</w:t>
      </w:r>
      <w:r w:rsidRPr="00730EEA">
        <w:rPr>
          <w:rFonts w:ascii="Tahoma" w:hAnsi="Tahoma" w:cs="Tahoma"/>
          <w:bCs/>
          <w:sz w:val="20"/>
          <w:szCs w:val="20"/>
        </w:rPr>
        <w:t>,</w:t>
      </w:r>
      <w:r w:rsidRPr="00730EEA">
        <w:rPr>
          <w:rFonts w:ascii="Tahoma" w:hAnsi="Tahoma" w:cs="Tahoma"/>
          <w:sz w:val="20"/>
          <w:szCs w:val="20"/>
        </w:rPr>
        <w:t xml:space="preserve"> a to nejpozději do </w:t>
      </w:r>
      <w:r w:rsidR="00730EEA" w:rsidRPr="00730EEA">
        <w:rPr>
          <w:rFonts w:ascii="Tahoma" w:hAnsi="Tahoma" w:cs="Tahoma"/>
          <w:sz w:val="20"/>
          <w:szCs w:val="20"/>
        </w:rPr>
        <w:t>200</w:t>
      </w:r>
      <w:r w:rsidR="00845673" w:rsidRPr="00730EEA">
        <w:rPr>
          <w:rFonts w:ascii="Tahoma" w:hAnsi="Tahoma" w:cs="Tahoma"/>
          <w:sz w:val="20"/>
          <w:szCs w:val="20"/>
        </w:rPr>
        <w:t xml:space="preserve"> </w:t>
      </w:r>
      <w:r w:rsidR="00247095" w:rsidRPr="00730EEA">
        <w:rPr>
          <w:rFonts w:ascii="Tahoma" w:hAnsi="Tahoma" w:cs="Tahoma"/>
          <w:sz w:val="20"/>
          <w:szCs w:val="20"/>
        </w:rPr>
        <w:t>kalendářních</w:t>
      </w:r>
      <w:r w:rsidRPr="00730EEA">
        <w:rPr>
          <w:rFonts w:ascii="Tahoma" w:hAnsi="Tahoma" w:cs="Tahoma"/>
          <w:sz w:val="20"/>
          <w:szCs w:val="20"/>
        </w:rPr>
        <w:t xml:space="preserve"> dnů ode dne </w:t>
      </w:r>
      <w:r w:rsidR="002E09BE" w:rsidRPr="00730EEA">
        <w:rPr>
          <w:rFonts w:ascii="Tahoma" w:hAnsi="Tahoma" w:cs="Tahoma"/>
          <w:sz w:val="20"/>
          <w:szCs w:val="20"/>
        </w:rPr>
        <w:t>nabytí účinnosti</w:t>
      </w:r>
      <w:r w:rsidRPr="00730EEA">
        <w:rPr>
          <w:rFonts w:ascii="Tahoma" w:hAnsi="Tahoma" w:cs="Tahoma"/>
          <w:sz w:val="20"/>
          <w:szCs w:val="20"/>
        </w:rPr>
        <w:t xml:space="preserve"> této smlouvy.</w:t>
      </w:r>
    </w:p>
    <w:p w14:paraId="0CD3E133" w14:textId="6CE7A85D" w:rsidR="00A13FB4" w:rsidRPr="00730EEA"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30EEA">
        <w:rPr>
          <w:rFonts w:ascii="Tahoma" w:hAnsi="Tahoma" w:cs="Tahoma"/>
          <w:bCs/>
          <w:sz w:val="20"/>
          <w:szCs w:val="20"/>
        </w:rPr>
        <w:t xml:space="preserve">Místem plnění je </w:t>
      </w:r>
      <w:r w:rsidR="00730EEA" w:rsidRPr="00730EEA">
        <w:rPr>
          <w:rFonts w:ascii="Tahoma" w:hAnsi="Tahoma" w:cs="Tahoma"/>
          <w:sz w:val="20"/>
          <w:szCs w:val="20"/>
        </w:rPr>
        <w:t xml:space="preserve">Vysoká škola báňská – Technická univerzita Ostrava, Fakulta bezpečnostního inženýrství, Lumírova 630/13, 700 30 </w:t>
      </w:r>
      <w:proofErr w:type="gramStart"/>
      <w:r w:rsidR="00730EEA" w:rsidRPr="00730EEA">
        <w:rPr>
          <w:rFonts w:ascii="Tahoma" w:hAnsi="Tahoma" w:cs="Tahoma"/>
          <w:sz w:val="20"/>
          <w:szCs w:val="20"/>
        </w:rPr>
        <w:t>Ostrava - Výškovice</w:t>
      </w:r>
      <w:proofErr w:type="gramEnd"/>
      <w:r w:rsidR="002A1FE7" w:rsidRPr="00730EEA">
        <w:rPr>
          <w:rFonts w:ascii="Tahoma" w:hAnsi="Tahoma" w:cs="Tahoma"/>
          <w:bCs/>
          <w:sz w:val="20"/>
          <w:szCs w:val="20"/>
        </w:rPr>
        <w:t xml:space="preserve"> </w:t>
      </w:r>
      <w:r w:rsidRPr="00730EEA">
        <w:rPr>
          <w:rFonts w:ascii="Tahoma" w:hAnsi="Tahoma" w:cs="Tahoma"/>
          <w:bCs/>
          <w:sz w:val="20"/>
          <w:szCs w:val="20"/>
        </w:rPr>
        <w:t>(dále jen „místo plnění“).</w:t>
      </w:r>
    </w:p>
    <w:p w14:paraId="37732530" w14:textId="77777777" w:rsidR="00A13FB4" w:rsidRPr="00730EEA"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30EEA">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30EEA">
        <w:rPr>
          <w:rFonts w:ascii="Tahoma" w:hAnsi="Tahoma" w:cs="Tahoma"/>
          <w:sz w:val="20"/>
          <w:szCs w:val="20"/>
        </w:rPr>
        <w:t>Prodávající se tímto zavazuje, že zboží bude splňovat</w:t>
      </w:r>
      <w:r w:rsidRPr="00FD4FE6">
        <w:rPr>
          <w:rFonts w:ascii="Tahoma" w:hAnsi="Tahoma" w:cs="Tahoma"/>
          <w:sz w:val="20"/>
          <w:szCs w:val="20"/>
        </w:rPr>
        <w:t xml:space="preserve">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22811197"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w:t>
      </w:r>
      <w:r w:rsidR="00A13FB4" w:rsidRPr="00730EEA">
        <w:rPr>
          <w:rFonts w:ascii="Tahoma" w:hAnsi="Tahoma" w:cs="Tahoma"/>
          <w:sz w:val="20"/>
          <w:szCs w:val="20"/>
        </w:rPr>
        <w:t>odkladu po splnění podmínek dle předcházejícího odstavce tohoto článku této smlouvy a doručen</w:t>
      </w:r>
      <w:r w:rsidR="00674482" w:rsidRPr="00730EEA">
        <w:rPr>
          <w:rFonts w:ascii="Tahoma" w:hAnsi="Tahoma" w:cs="Tahoma"/>
          <w:sz w:val="20"/>
          <w:szCs w:val="20"/>
        </w:rPr>
        <w:t>é</w:t>
      </w:r>
      <w:r w:rsidR="00A13FB4" w:rsidRPr="00730EEA">
        <w:rPr>
          <w:rFonts w:ascii="Tahoma" w:hAnsi="Tahoma" w:cs="Tahoma"/>
          <w:sz w:val="20"/>
          <w:szCs w:val="20"/>
        </w:rPr>
        <w:t xml:space="preserve"> kupujícímu</w:t>
      </w:r>
      <w:r w:rsidR="007043BD" w:rsidRPr="00730EEA">
        <w:rPr>
          <w:rFonts w:ascii="Tahoma" w:hAnsi="Tahoma" w:cs="Tahoma"/>
          <w:sz w:val="20"/>
          <w:szCs w:val="20"/>
        </w:rPr>
        <w:t xml:space="preserve"> poštou na adresu dle záhlaví této smlouvy</w:t>
      </w:r>
      <w:r w:rsidR="00FC72FF" w:rsidRPr="00730EEA">
        <w:rPr>
          <w:rFonts w:ascii="Tahoma" w:hAnsi="Tahoma" w:cs="Tahoma"/>
          <w:sz w:val="20"/>
          <w:szCs w:val="20"/>
        </w:rPr>
        <w:t>, nebo elektronicky na adres</w:t>
      </w:r>
      <w:r w:rsidR="00357B96" w:rsidRPr="00730EEA">
        <w:rPr>
          <w:rFonts w:ascii="Tahoma" w:hAnsi="Tahoma" w:cs="Tahoma"/>
          <w:sz w:val="20"/>
          <w:szCs w:val="20"/>
        </w:rPr>
        <w:t>u</w:t>
      </w:r>
      <w:r w:rsidR="00FC72FF" w:rsidRPr="00730EEA">
        <w:rPr>
          <w:rFonts w:ascii="Tahoma" w:hAnsi="Tahoma" w:cs="Tahoma"/>
          <w:sz w:val="20"/>
          <w:szCs w:val="20"/>
        </w:rPr>
        <w:t xml:space="preserve"> </w:t>
      </w:r>
      <w:r w:rsidR="00730EEA" w:rsidRPr="00730EEA">
        <w:rPr>
          <w:rFonts w:ascii="Tahoma" w:hAnsi="Tahoma" w:cs="Tahoma"/>
          <w:b/>
          <w:bCs/>
          <w:sz w:val="20"/>
          <w:szCs w:val="20"/>
        </w:rPr>
        <w:t xml:space="preserve">tamara.sanitrakova@vsb.cz </w:t>
      </w:r>
      <w:r w:rsidR="00730EEA" w:rsidRPr="00730EEA">
        <w:rPr>
          <w:rFonts w:ascii="Tahoma" w:hAnsi="Tahoma" w:cs="Tahoma"/>
          <w:sz w:val="20"/>
          <w:szCs w:val="20"/>
        </w:rPr>
        <w:t>a</w:t>
      </w:r>
      <w:r w:rsidR="00730EEA" w:rsidRPr="00730EEA">
        <w:rPr>
          <w:rFonts w:ascii="Tahoma" w:hAnsi="Tahoma" w:cs="Tahoma"/>
          <w:b/>
          <w:bCs/>
          <w:sz w:val="20"/>
          <w:szCs w:val="20"/>
        </w:rPr>
        <w:t xml:space="preserve"> lukas.cadan@vsb.cz</w:t>
      </w:r>
      <w:r w:rsidR="00A13FB4" w:rsidRPr="00730EEA">
        <w:rPr>
          <w:rFonts w:ascii="Tahoma" w:hAnsi="Tahoma" w:cs="Tahoma"/>
          <w:sz w:val="20"/>
          <w:szCs w:val="20"/>
        </w:rPr>
        <w:t>.</w:t>
      </w:r>
      <w:r w:rsidR="0010552E" w:rsidRPr="00730EEA">
        <w:rPr>
          <w:rFonts w:ascii="Tahoma" w:hAnsi="Tahoma" w:cs="Tahoma"/>
          <w:sz w:val="20"/>
          <w:szCs w:val="20"/>
        </w:rPr>
        <w:t xml:space="preserve"> </w:t>
      </w:r>
      <w:r w:rsidR="007043BD" w:rsidRPr="00730EEA">
        <w:rPr>
          <w:rFonts w:ascii="Tahoma" w:hAnsi="Tahoma" w:cs="Tahoma"/>
          <w:sz w:val="20"/>
          <w:szCs w:val="20"/>
        </w:rPr>
        <w:t>Prodávajícím vystavená faktura musí obsahovat identifikaci této smlouvy.</w:t>
      </w:r>
      <w:r w:rsidR="005D339A" w:rsidRPr="00730EEA">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w:t>
      </w:r>
      <w:r w:rsidR="005D339A" w:rsidRPr="00FD4FE6">
        <w:rPr>
          <w:rFonts w:ascii="Tahoma" w:hAnsi="Tahoma" w:cs="Tahoma"/>
          <w:sz w:val="20"/>
          <w:szCs w:val="20"/>
        </w:rPr>
        <w:t xml:space="preserve">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453A32EC"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730EEA">
        <w:rPr>
          <w:rFonts w:ascii="Tahoma" w:hAnsi="Tahoma" w:cs="Tahoma"/>
          <w:sz w:val="20"/>
          <w:szCs w:val="20"/>
        </w:rPr>
        <w:t xml:space="preserve">občanského zákoníku poskytuje kupujícímu záruku za jakost zboží dodaného dle této smlouvy v délce </w:t>
      </w:r>
      <w:r w:rsidR="00730EEA" w:rsidRPr="00730EEA">
        <w:rPr>
          <w:rFonts w:ascii="Tahoma" w:hAnsi="Tahoma" w:cs="Tahoma"/>
          <w:sz w:val="20"/>
          <w:szCs w:val="20"/>
        </w:rPr>
        <w:t>12</w:t>
      </w:r>
      <w:r w:rsidRPr="00730EEA">
        <w:rPr>
          <w:rFonts w:ascii="Tahoma" w:hAnsi="Tahoma" w:cs="Tahoma"/>
          <w:sz w:val="20"/>
          <w:szCs w:val="20"/>
        </w:rPr>
        <w:t xml:space="preserve"> </w:t>
      </w:r>
      <w:r w:rsidR="00CC1778" w:rsidRPr="00730EEA">
        <w:rPr>
          <w:rFonts w:ascii="Tahoma" w:hAnsi="Tahoma" w:cs="Tahoma"/>
          <w:sz w:val="20"/>
          <w:szCs w:val="20"/>
        </w:rPr>
        <w:t xml:space="preserve">měsíců </w:t>
      </w:r>
      <w:r w:rsidRPr="00730EEA">
        <w:rPr>
          <w:rFonts w:ascii="Tahoma" w:hAnsi="Tahoma" w:cs="Tahoma"/>
          <w:sz w:val="20"/>
          <w:szCs w:val="20"/>
        </w:rPr>
        <w:t>ode dne převzetí zboží kupujícím</w:t>
      </w:r>
      <w:r w:rsidR="00CA427D" w:rsidRPr="00730EEA">
        <w:rPr>
          <w:rFonts w:ascii="Tahoma" w:hAnsi="Tahoma" w:cs="Tahoma"/>
          <w:sz w:val="20"/>
          <w:szCs w:val="20"/>
        </w:rPr>
        <w:t xml:space="preserve"> dle předávacího protokolu</w:t>
      </w:r>
      <w:r w:rsidRPr="00730EEA">
        <w:rPr>
          <w:rFonts w:ascii="Tahoma" w:hAnsi="Tahoma" w:cs="Tahoma"/>
          <w:sz w:val="20"/>
          <w:szCs w:val="20"/>
        </w:rPr>
        <w:t>.</w:t>
      </w:r>
      <w:r w:rsidR="00CD519B" w:rsidRPr="00730EEA">
        <w:rPr>
          <w:rFonts w:ascii="Tahoma" w:hAnsi="Tahoma" w:cs="Tahoma"/>
          <w:sz w:val="20"/>
          <w:szCs w:val="20"/>
        </w:rPr>
        <w:t xml:space="preserve"> </w:t>
      </w:r>
      <w:r w:rsidRPr="00730EEA">
        <w:rPr>
          <w:rFonts w:ascii="Tahoma" w:hAnsi="Tahoma" w:cs="Tahoma"/>
          <w:sz w:val="20"/>
          <w:szCs w:val="20"/>
        </w:rPr>
        <w:t>Prodávající se zavazuje,</w:t>
      </w:r>
      <w:r w:rsidRPr="00FD4FE6">
        <w:rPr>
          <w:rFonts w:ascii="Tahoma" w:hAnsi="Tahoma" w:cs="Tahoma"/>
          <w:sz w:val="20"/>
          <w:szCs w:val="20"/>
        </w:rPr>
        <w:t xml:space="preserv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08E5CCEF" w:rsidR="005C3C3A" w:rsidRPr="00730EEA"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w:t>
      </w:r>
      <w:r w:rsidR="005C3C3A" w:rsidRPr="00730EEA">
        <w:rPr>
          <w:rFonts w:ascii="Tahoma" w:hAnsi="Tahoma" w:cs="Tahoma"/>
          <w:sz w:val="20"/>
          <w:szCs w:val="20"/>
        </w:rPr>
        <w:t xml:space="preserve">nejpozději do </w:t>
      </w:r>
      <w:r w:rsidR="00730EEA" w:rsidRPr="00730EEA">
        <w:rPr>
          <w:rFonts w:ascii="Tahoma" w:hAnsi="Tahoma" w:cs="Tahoma"/>
          <w:sz w:val="20"/>
          <w:szCs w:val="20"/>
        </w:rPr>
        <w:t>40</w:t>
      </w:r>
      <w:r w:rsidR="005C3C3A" w:rsidRPr="00730EEA">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730EEA">
        <w:rPr>
          <w:rFonts w:ascii="Tahoma" w:hAnsi="Tahoma" w:cs="Tahoma"/>
          <w:sz w:val="20"/>
          <w:szCs w:val="20"/>
        </w:rPr>
        <w:t>Cestovní náklady, náklady na materiál a jiné náklady, které prodávajícímu</w:t>
      </w:r>
      <w:r w:rsidRPr="00FD4FE6">
        <w:rPr>
          <w:rFonts w:ascii="Tahoma" w:hAnsi="Tahoma" w:cs="Tahoma"/>
          <w:sz w:val="20"/>
          <w:szCs w:val="20"/>
        </w:rPr>
        <w:t xml:space="preserve">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6840E268" w:rsidR="00E228E7" w:rsidRPr="00730EEA"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w:t>
      </w:r>
      <w:r w:rsidRPr="00730EEA">
        <w:rPr>
          <w:rFonts w:ascii="Tahoma" w:hAnsi="Tahoma" w:cs="Tahoma"/>
          <w:sz w:val="20"/>
          <w:szCs w:val="20"/>
        </w:rPr>
        <w:t xml:space="preserve">a dále je prodávající povinen jako osoba povinná dle § 2 písm. e) zákona č. 320/2001 Sb., o finanční kontrole ve veřejné správě, v účinném znění, spolupůsobit při výkonu finanční kontroly, mj. umožnit řídícímu orgánu </w:t>
      </w:r>
      <w:r w:rsidR="00730EEA" w:rsidRPr="00730EEA">
        <w:rPr>
          <w:rFonts w:ascii="Tahoma" w:hAnsi="Tahoma" w:cs="Tahoma"/>
          <w:sz w:val="20"/>
          <w:szCs w:val="20"/>
        </w:rPr>
        <w:t>OP ST</w:t>
      </w:r>
      <w:r w:rsidRPr="00730EEA">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730EEA">
        <w:rPr>
          <w:rFonts w:ascii="Tahoma" w:hAnsi="Tahoma" w:cs="Tahoma"/>
          <w:sz w:val="20"/>
          <w:szCs w:val="20"/>
        </w:rPr>
        <w:t> </w:t>
      </w:r>
      <w:r w:rsidRPr="00730EEA">
        <w:rPr>
          <w:rFonts w:ascii="Tahoma" w:hAnsi="Tahoma" w:cs="Tahoma"/>
          <w:sz w:val="20"/>
          <w:szCs w:val="20"/>
        </w:rPr>
        <w:t xml:space="preserve">255/2012 Sb., o kontrole (kontrolní řád), v účinném znění]; ve smlouvách se svými </w:t>
      </w:r>
      <w:r w:rsidR="00296C98" w:rsidRPr="00730EEA">
        <w:rPr>
          <w:rFonts w:ascii="Tahoma" w:hAnsi="Tahoma" w:cs="Tahoma"/>
          <w:sz w:val="20"/>
          <w:szCs w:val="20"/>
        </w:rPr>
        <w:t>pod</w:t>
      </w:r>
      <w:r w:rsidRPr="00730EEA">
        <w:rPr>
          <w:rFonts w:ascii="Tahoma" w:hAnsi="Tahoma" w:cs="Tahoma"/>
          <w:sz w:val="20"/>
          <w:szCs w:val="20"/>
        </w:rPr>
        <w:t>dodavateli prodávající tyto zaváže umožnit říd</w:t>
      </w:r>
      <w:r w:rsidR="005B4D4D" w:rsidRPr="00730EEA">
        <w:rPr>
          <w:rFonts w:ascii="Tahoma" w:hAnsi="Tahoma" w:cs="Tahoma"/>
          <w:sz w:val="20"/>
          <w:szCs w:val="20"/>
        </w:rPr>
        <w:t xml:space="preserve">ícímu orgánu </w:t>
      </w:r>
      <w:r w:rsidR="00730EEA" w:rsidRPr="00730EEA">
        <w:rPr>
          <w:rFonts w:ascii="Tahoma" w:hAnsi="Tahoma" w:cs="Tahoma"/>
          <w:sz w:val="20"/>
          <w:szCs w:val="20"/>
        </w:rPr>
        <w:t>OP ST</w:t>
      </w:r>
      <w:r w:rsidR="005B4D4D" w:rsidRPr="00730EEA">
        <w:rPr>
          <w:rFonts w:ascii="Tahoma" w:hAnsi="Tahoma" w:cs="Tahoma"/>
          <w:sz w:val="20"/>
          <w:szCs w:val="20"/>
        </w:rPr>
        <w:t xml:space="preserve"> kontrolu pod</w:t>
      </w:r>
      <w:r w:rsidRPr="00730EEA">
        <w:rPr>
          <w:rFonts w:ascii="Tahoma" w:hAnsi="Tahoma" w:cs="Tahoma"/>
          <w:sz w:val="20"/>
          <w:szCs w:val="20"/>
        </w:rPr>
        <w:t>dodavatelů v témže rozsahu</w:t>
      </w:r>
      <w:r w:rsidR="00CB1D7D" w:rsidRPr="00730EEA">
        <w:rPr>
          <w:rFonts w:ascii="Tahoma" w:hAnsi="Tahoma" w:cs="Tahoma"/>
          <w:sz w:val="20"/>
          <w:szCs w:val="20"/>
        </w:rPr>
        <w:t>.</w:t>
      </w:r>
      <w:r w:rsidRPr="00730EEA">
        <w:rPr>
          <w:rFonts w:ascii="Tahoma" w:hAnsi="Tahoma" w:cs="Tahoma"/>
          <w:sz w:val="20"/>
          <w:szCs w:val="20"/>
        </w:rPr>
        <w:t xml:space="preserve"> </w:t>
      </w:r>
    </w:p>
    <w:p w14:paraId="0F7E7AA5" w14:textId="0CEE69F9" w:rsidR="00103D7C" w:rsidRPr="00730EEA"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730EEA">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730EEA">
        <w:rPr>
          <w:rFonts w:ascii="Tahoma" w:hAnsi="Tahoma" w:cs="Tahoma"/>
          <w:sz w:val="20"/>
          <w:szCs w:val="20"/>
        </w:rPr>
        <w:t>3</w:t>
      </w:r>
      <w:r w:rsidR="00CB1D7D" w:rsidRPr="00730EEA">
        <w:rPr>
          <w:rFonts w:ascii="Tahoma" w:hAnsi="Tahoma" w:cs="Tahoma"/>
          <w:sz w:val="20"/>
          <w:szCs w:val="20"/>
        </w:rPr>
        <w:t>4</w:t>
      </w:r>
      <w:r w:rsidRPr="00730EEA">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lastRenderedPageBreak/>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04CDCFAC"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3E5BC254" w:rsidR="00AD7ECD" w:rsidRPr="00730EEA" w:rsidRDefault="00730EEA" w:rsidP="00E8258F">
            <w:pPr>
              <w:pStyle w:val="RLdajeosmluvnstran"/>
              <w:keepLines/>
              <w:spacing w:before="120" w:after="0" w:line="240" w:lineRule="auto"/>
              <w:rPr>
                <w:rFonts w:ascii="Tahoma" w:hAnsi="Tahoma" w:cs="Tahoma"/>
                <w:b/>
                <w:bCs/>
                <w:sz w:val="20"/>
                <w:szCs w:val="20"/>
              </w:rPr>
            </w:pPr>
            <w:r w:rsidRPr="00730EEA">
              <w:rPr>
                <w:rFonts w:ascii="Tahoma" w:hAnsi="Tahoma" w:cs="Tahoma"/>
                <w:b/>
                <w:bCs/>
                <w:sz w:val="20"/>
                <w:szCs w:val="20"/>
              </w:rPr>
              <w:t>Vysoká škola báňská – Technická univerzita Ostrava</w:t>
            </w:r>
          </w:p>
          <w:p w14:paraId="10F792F7" w14:textId="77777777" w:rsidR="00730EEA" w:rsidRPr="00730EEA" w:rsidRDefault="00730EEA" w:rsidP="008045C7">
            <w:pPr>
              <w:pStyle w:val="RLdajeosmluvnstran"/>
              <w:keepLines/>
              <w:spacing w:after="0" w:line="240" w:lineRule="auto"/>
              <w:rPr>
                <w:rFonts w:ascii="Tahoma" w:hAnsi="Tahoma" w:cs="Tahoma"/>
                <w:sz w:val="20"/>
                <w:szCs w:val="20"/>
              </w:rPr>
            </w:pPr>
            <w:r w:rsidRPr="00730EEA">
              <w:rPr>
                <w:rFonts w:ascii="Tahoma" w:hAnsi="Tahoma" w:cs="Tahoma"/>
                <w:sz w:val="20"/>
                <w:szCs w:val="20"/>
              </w:rPr>
              <w:t>prof. Ing. Igor Ivan, Ph.D.</w:t>
            </w:r>
          </w:p>
          <w:p w14:paraId="7DC53942" w14:textId="382C2797" w:rsidR="00772B56" w:rsidRPr="00FD4FE6" w:rsidRDefault="00730EEA" w:rsidP="008045C7">
            <w:pPr>
              <w:pStyle w:val="RLdajeosmluvnstran"/>
              <w:keepLines/>
              <w:spacing w:after="0" w:line="240" w:lineRule="auto"/>
              <w:rPr>
                <w:rFonts w:ascii="Tahoma" w:hAnsi="Tahoma" w:cs="Tahoma"/>
                <w:sz w:val="20"/>
                <w:szCs w:val="20"/>
              </w:rPr>
            </w:pPr>
            <w:r w:rsidRPr="00730EEA">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2E7994B6" w14:textId="77777777" w:rsidR="00730EEA" w:rsidRPr="00B4312E" w:rsidRDefault="00730EEA" w:rsidP="00730EEA">
      <w:pPr>
        <w:keepLines/>
        <w:spacing w:before="120" w:line="240" w:lineRule="auto"/>
        <w:rPr>
          <w:rFonts w:ascii="Tahoma" w:hAnsi="Tahoma" w:cs="Tahoma"/>
          <w:b/>
          <w:sz w:val="20"/>
          <w:szCs w:val="20"/>
        </w:rPr>
      </w:pPr>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094AC923" w14:textId="77777777" w:rsidR="00730EEA" w:rsidRDefault="00730EEA" w:rsidP="00730EEA">
      <w:pPr>
        <w:spacing w:before="120" w:after="0" w:line="240" w:lineRule="auto"/>
        <w:jc w:val="center"/>
        <w:rPr>
          <w:rFonts w:ascii="Tahoma" w:hAnsi="Tahoma" w:cs="Tahoma"/>
          <w:b/>
          <w:szCs w:val="20"/>
        </w:rPr>
      </w:pPr>
    </w:p>
    <w:p w14:paraId="1512EDFA" w14:textId="77777777" w:rsidR="00730EEA" w:rsidRDefault="00730EEA" w:rsidP="00730EEA">
      <w:pPr>
        <w:spacing w:before="120" w:after="0" w:line="240" w:lineRule="auto"/>
        <w:jc w:val="center"/>
        <w:rPr>
          <w:rFonts w:ascii="Tahoma" w:hAnsi="Tahoma" w:cs="Tahoma"/>
          <w:b/>
          <w:szCs w:val="20"/>
        </w:rPr>
      </w:pPr>
      <w:r w:rsidRPr="006066B1">
        <w:rPr>
          <w:rFonts w:ascii="Tahoma" w:hAnsi="Tahoma" w:cs="Tahoma"/>
          <w:b/>
          <w:szCs w:val="20"/>
        </w:rPr>
        <w:t>Technická specifikace</w:t>
      </w:r>
    </w:p>
    <w:p w14:paraId="033EF0AA" w14:textId="77777777" w:rsidR="007957A5" w:rsidRDefault="007957A5" w:rsidP="007957A5">
      <w:pPr>
        <w:spacing w:before="120" w:after="0" w:line="240" w:lineRule="auto"/>
        <w:jc w:val="center"/>
        <w:rPr>
          <w:rFonts w:ascii="Tahoma" w:hAnsi="Tahoma" w:cs="Tahoma"/>
          <w:b/>
          <w:sz w:val="20"/>
          <w:szCs w:val="20"/>
        </w:rPr>
      </w:pPr>
      <w:r w:rsidRPr="00306A26">
        <w:rPr>
          <w:rFonts w:ascii="Tahoma" w:hAnsi="Tahoma" w:cs="Tahoma"/>
          <w:b/>
          <w:szCs w:val="20"/>
        </w:rPr>
        <w:t>Tlakové lahve pro vodík</w:t>
      </w:r>
    </w:p>
    <w:p w14:paraId="48F1EECB" w14:textId="77777777" w:rsidR="00730EEA" w:rsidRPr="006E75DA" w:rsidRDefault="00730EEA" w:rsidP="00730EEA">
      <w:pPr>
        <w:spacing w:before="120"/>
        <w:rPr>
          <w:rFonts w:ascii="Tahoma" w:hAnsi="Tahoma" w:cs="Tahoma"/>
          <w:b/>
          <w:sz w:val="20"/>
          <w:szCs w:val="20"/>
          <w:u w:val="single"/>
        </w:rPr>
      </w:pPr>
      <w:r w:rsidRPr="00306A26">
        <w:rPr>
          <w:rFonts w:ascii="Tahoma" w:hAnsi="Tahoma" w:cs="Tahoma"/>
          <w:b/>
          <w:sz w:val="20"/>
          <w:szCs w:val="20"/>
          <w:u w:val="single"/>
        </w:rPr>
        <w:t>Tlakové lahve pro vodík</w:t>
      </w:r>
      <w:r w:rsidRPr="006E75DA">
        <w:rPr>
          <w:rFonts w:ascii="Tahoma" w:hAnsi="Tahoma" w:cs="Tahoma"/>
          <w:b/>
          <w:sz w:val="20"/>
          <w:szCs w:val="20"/>
          <w:u w:val="single"/>
        </w:rPr>
        <w:t>:</w:t>
      </w:r>
    </w:p>
    <w:p w14:paraId="0462CE9F" w14:textId="77777777" w:rsidR="00730EEA" w:rsidRPr="006E75DA" w:rsidRDefault="00730EEA" w:rsidP="00730EEA">
      <w:pPr>
        <w:pStyle w:val="Odstavecseseznamem"/>
        <w:spacing w:before="120" w:after="0" w:line="240" w:lineRule="auto"/>
        <w:ind w:left="0"/>
        <w:contextualSpacing w:val="0"/>
        <w:rPr>
          <w:rFonts w:ascii="Tahoma" w:hAnsi="Tahoma" w:cs="Tahoma"/>
          <w:b/>
          <w:sz w:val="20"/>
          <w:szCs w:val="20"/>
        </w:rPr>
      </w:pPr>
      <w:r w:rsidRPr="006E75DA">
        <w:rPr>
          <w:rFonts w:ascii="Tahoma" w:hAnsi="Tahoma" w:cs="Tahoma"/>
          <w:b/>
          <w:sz w:val="20"/>
          <w:szCs w:val="20"/>
        </w:rPr>
        <w:t xml:space="preserve">Výrobce </w:t>
      </w:r>
      <w:r>
        <w:rPr>
          <w:rFonts w:ascii="Tahoma" w:hAnsi="Tahoma" w:cs="Tahoma"/>
          <w:b/>
          <w:sz w:val="20"/>
          <w:szCs w:val="20"/>
        </w:rPr>
        <w:t>tlakových lahví</w:t>
      </w:r>
      <w:r w:rsidRPr="006E75DA">
        <w:rPr>
          <w:rFonts w:ascii="Tahoma" w:hAnsi="Tahoma" w:cs="Tahoma"/>
          <w:b/>
          <w:sz w:val="20"/>
          <w:szCs w:val="20"/>
        </w:rPr>
        <w:t>:</w:t>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5D9D5A50" w14:textId="77777777" w:rsidR="00730EEA" w:rsidRPr="006E75DA" w:rsidRDefault="00730EEA" w:rsidP="00730EEA">
      <w:pPr>
        <w:pStyle w:val="Odstavecseseznamem"/>
        <w:spacing w:before="120" w:after="0" w:line="240" w:lineRule="auto"/>
        <w:ind w:left="0"/>
        <w:contextualSpacing w:val="0"/>
        <w:rPr>
          <w:rFonts w:ascii="Tahoma" w:hAnsi="Tahoma" w:cs="Tahoma"/>
          <w:sz w:val="20"/>
          <w:szCs w:val="20"/>
        </w:rPr>
      </w:pPr>
      <w:r w:rsidRPr="006E75DA">
        <w:rPr>
          <w:rFonts w:ascii="Tahoma" w:hAnsi="Tahoma" w:cs="Tahoma"/>
          <w:b/>
          <w:sz w:val="20"/>
          <w:szCs w:val="20"/>
        </w:rPr>
        <w:t xml:space="preserve">Přesné typové označení </w:t>
      </w:r>
      <w:r>
        <w:rPr>
          <w:rFonts w:ascii="Tahoma" w:hAnsi="Tahoma" w:cs="Tahoma"/>
          <w:b/>
          <w:sz w:val="20"/>
          <w:szCs w:val="20"/>
        </w:rPr>
        <w:t>tlakových lahví</w:t>
      </w:r>
      <w:r w:rsidRPr="006E75DA">
        <w:rPr>
          <w:rFonts w:ascii="Tahoma" w:hAnsi="Tahoma" w:cs="Tahoma"/>
          <w:b/>
          <w:sz w:val="20"/>
          <w:szCs w:val="20"/>
        </w:rPr>
        <w:t>:</w:t>
      </w:r>
      <w:r w:rsidRPr="006E75DA">
        <w:rPr>
          <w:rFonts w:ascii="Tahoma" w:hAnsi="Tahoma" w:cs="Tahoma"/>
          <w:b/>
          <w:sz w:val="20"/>
          <w:szCs w:val="20"/>
        </w:rPr>
        <w:tab/>
      </w:r>
      <w:r w:rsidRPr="006E75DA">
        <w:rPr>
          <w:rFonts w:ascii="Tahoma" w:hAnsi="Tahoma" w:cs="Tahoma"/>
          <w:i/>
          <w:color w:val="FF0000"/>
          <w:sz w:val="20"/>
          <w:szCs w:val="20"/>
          <w:u w:val="single"/>
        </w:rPr>
        <w:t>uvede účastník</w:t>
      </w:r>
    </w:p>
    <w:p w14:paraId="789EA3DF" w14:textId="77777777" w:rsidR="00730EEA" w:rsidRPr="006E75DA" w:rsidRDefault="00730EEA" w:rsidP="00730EEA">
      <w:pPr>
        <w:pStyle w:val="Odstavecseseznamem"/>
        <w:spacing w:before="120" w:after="0" w:line="240" w:lineRule="auto"/>
        <w:ind w:left="0"/>
        <w:contextualSpacing w:val="0"/>
        <w:jc w:val="both"/>
        <w:rPr>
          <w:rFonts w:ascii="Tahoma" w:hAnsi="Tahoma" w:cs="Tahoma"/>
          <w:bCs/>
          <w:sz w:val="20"/>
          <w:szCs w:val="20"/>
        </w:rPr>
      </w:pPr>
      <w:r w:rsidRPr="006E75DA">
        <w:rPr>
          <w:rFonts w:ascii="Tahoma" w:hAnsi="Tahoma" w:cs="Tahoma"/>
          <w:b/>
          <w:bCs/>
          <w:sz w:val="20"/>
          <w:szCs w:val="20"/>
        </w:rPr>
        <w:t xml:space="preserve">Počet kusů: </w:t>
      </w:r>
      <w:r w:rsidRPr="006E75DA">
        <w:rPr>
          <w:rFonts w:ascii="Tahoma" w:hAnsi="Tahoma" w:cs="Tahoma"/>
          <w:bCs/>
          <w:sz w:val="20"/>
          <w:szCs w:val="20"/>
        </w:rPr>
        <w:tab/>
      </w:r>
      <w:r>
        <w:rPr>
          <w:rFonts w:ascii="Tahoma" w:hAnsi="Tahoma" w:cs="Tahoma"/>
          <w:bCs/>
          <w:sz w:val="20"/>
          <w:szCs w:val="20"/>
        </w:rPr>
        <w:t>6</w:t>
      </w:r>
      <w:r w:rsidRPr="006E75DA">
        <w:rPr>
          <w:rFonts w:ascii="Tahoma" w:hAnsi="Tahoma" w:cs="Tahoma"/>
          <w:bCs/>
          <w:sz w:val="20"/>
          <w:szCs w:val="20"/>
        </w:rPr>
        <w:t xml:space="preserve"> ks </w:t>
      </w:r>
    </w:p>
    <w:p w14:paraId="7901A908" w14:textId="77777777" w:rsidR="00730EEA" w:rsidRDefault="00730EEA" w:rsidP="00730EEA">
      <w:pPr>
        <w:spacing w:before="360" w:line="240" w:lineRule="auto"/>
        <w:jc w:val="both"/>
        <w:rPr>
          <w:rFonts w:ascii="Tahoma" w:hAnsi="Tahoma" w:cs="Tahoma"/>
          <w:b/>
          <w:sz w:val="20"/>
          <w:szCs w:val="20"/>
        </w:rPr>
      </w:pPr>
      <w:r>
        <w:rPr>
          <w:rFonts w:ascii="Tahoma" w:hAnsi="Tahoma" w:cs="Tahoma"/>
          <w:b/>
          <w:sz w:val="20"/>
          <w:szCs w:val="20"/>
        </w:rPr>
        <w:t>Tlakové lahve</w:t>
      </w:r>
      <w:r w:rsidRPr="00793A0B">
        <w:rPr>
          <w:rFonts w:ascii="Tahoma" w:hAnsi="Tahoma" w:cs="Tahoma"/>
          <w:b/>
          <w:sz w:val="20"/>
          <w:szCs w:val="20"/>
        </w:rPr>
        <w:t xml:space="preserve"> </w:t>
      </w:r>
      <w:r w:rsidRPr="000F07B1">
        <w:rPr>
          <w:rFonts w:ascii="Tahoma" w:hAnsi="Tahoma" w:cs="Tahoma"/>
          <w:b/>
          <w:sz w:val="20"/>
          <w:szCs w:val="20"/>
        </w:rPr>
        <w:t>alespoň splňovat následující kritéria</w:t>
      </w:r>
      <w:r w:rsidRPr="00793A0B">
        <w:rPr>
          <w:rFonts w:ascii="Tahoma" w:hAnsi="Tahoma" w:cs="Tahoma"/>
          <w:b/>
          <w:sz w:val="20"/>
          <w:szCs w:val="20"/>
        </w:rPr>
        <w:t>:</w:t>
      </w:r>
    </w:p>
    <w:p w14:paraId="4FBE7E08"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Tlakové lahve typu IV (kompozitní s plastovou vložkou, opletem z uhlíkových a skelných vláken, hliníkový/kompozitní límec</w:t>
      </w:r>
    </w:p>
    <w:p w14:paraId="59F5E8EC"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Provozní/pracovní tlak: 700 bar.</w:t>
      </w:r>
    </w:p>
    <w:p w14:paraId="49F594C7"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 xml:space="preserve">Objem lahví: </w:t>
      </w:r>
      <w:r>
        <w:rPr>
          <w:rFonts w:ascii="Tahoma" w:hAnsi="Tahoma" w:cs="Tahoma"/>
          <w:bCs/>
          <w:sz w:val="20"/>
          <w:szCs w:val="20"/>
        </w:rPr>
        <w:t>min. 45 l, max. 65 l</w:t>
      </w:r>
    </w:p>
    <w:p w14:paraId="6D597779"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Dodání včetně ventilu</w:t>
      </w:r>
    </w:p>
    <w:p w14:paraId="1C494D5A"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Certifikace pro médium plynný vodík</w:t>
      </w:r>
    </w:p>
    <w:p w14:paraId="43293ADB"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 xml:space="preserve">Certifikace splňující právní požadavky Evropské unie, legální použití a uvedení na trh </w:t>
      </w:r>
    </w:p>
    <w:p w14:paraId="1FC3B023" w14:textId="77777777" w:rsidR="00730EEA" w:rsidRPr="00306A26" w:rsidRDefault="00730EEA" w:rsidP="00730EEA">
      <w:pPr>
        <w:pStyle w:val="Odstavecseseznamem"/>
        <w:numPr>
          <w:ilvl w:val="0"/>
          <w:numId w:val="24"/>
        </w:numPr>
        <w:spacing w:before="120" w:after="0" w:line="240" w:lineRule="auto"/>
        <w:ind w:left="714" w:hanging="357"/>
        <w:contextualSpacing w:val="0"/>
        <w:jc w:val="both"/>
        <w:rPr>
          <w:rFonts w:ascii="Tahoma" w:hAnsi="Tahoma" w:cs="Tahoma"/>
          <w:bCs/>
          <w:sz w:val="20"/>
          <w:szCs w:val="20"/>
        </w:rPr>
      </w:pPr>
      <w:r w:rsidRPr="00306A26">
        <w:rPr>
          <w:rFonts w:ascii="Tahoma" w:hAnsi="Tahoma" w:cs="Tahoma"/>
          <w:bCs/>
          <w:sz w:val="20"/>
          <w:szCs w:val="20"/>
        </w:rPr>
        <w:t>Lahve musí být zcela nové, nepoužité s platnou homologací a certifikáty dle příslušných norem</w:t>
      </w:r>
    </w:p>
    <w:p w14:paraId="523554A2" w14:textId="3F0ACB23" w:rsidR="008045C7" w:rsidRPr="00FD4FE6" w:rsidRDefault="008045C7" w:rsidP="00A55D62">
      <w:pPr>
        <w:spacing w:before="120" w:after="0" w:line="240" w:lineRule="auto"/>
        <w:jc w:val="center"/>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D639" w14:textId="77777777" w:rsidR="0060196A" w:rsidRDefault="0060196A" w:rsidP="008A5E9A">
      <w:pPr>
        <w:spacing w:after="0" w:line="240" w:lineRule="auto"/>
      </w:pPr>
      <w:r>
        <w:separator/>
      </w:r>
    </w:p>
  </w:endnote>
  <w:endnote w:type="continuationSeparator" w:id="0">
    <w:p w14:paraId="2DBFDEFA" w14:textId="77777777" w:rsidR="0060196A" w:rsidRDefault="0060196A"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5004" w14:textId="77777777" w:rsidR="0060196A" w:rsidRDefault="0060196A" w:rsidP="008A5E9A">
      <w:pPr>
        <w:spacing w:after="0" w:line="240" w:lineRule="auto"/>
      </w:pPr>
      <w:r>
        <w:separator/>
      </w:r>
    </w:p>
  </w:footnote>
  <w:footnote w:type="continuationSeparator" w:id="0">
    <w:p w14:paraId="20B7ED5D" w14:textId="77777777" w:rsidR="0060196A" w:rsidRDefault="0060196A"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9DE1876"/>
    <w:multiLevelType w:val="hybridMultilevel"/>
    <w:tmpl w:val="5E5E95DA"/>
    <w:lvl w:ilvl="0" w:tplc="3EDE24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7"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3"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4"/>
  </w:num>
  <w:num w:numId="2" w16cid:durableId="1651324975">
    <w:abstractNumId w:val="4"/>
  </w:num>
  <w:num w:numId="3" w16cid:durableId="1728410136">
    <w:abstractNumId w:val="15"/>
  </w:num>
  <w:num w:numId="4" w16cid:durableId="1750691558">
    <w:abstractNumId w:val="17"/>
  </w:num>
  <w:num w:numId="5" w16cid:durableId="829832098">
    <w:abstractNumId w:val="20"/>
  </w:num>
  <w:num w:numId="6" w16cid:durableId="472529423">
    <w:abstractNumId w:val="13"/>
  </w:num>
  <w:num w:numId="7" w16cid:durableId="1651250113">
    <w:abstractNumId w:val="0"/>
  </w:num>
  <w:num w:numId="8" w16cid:durableId="1227037281">
    <w:abstractNumId w:val="11"/>
  </w:num>
  <w:num w:numId="9" w16cid:durableId="582881946">
    <w:abstractNumId w:val="2"/>
  </w:num>
  <w:num w:numId="10" w16cid:durableId="1187714178">
    <w:abstractNumId w:val="12"/>
  </w:num>
  <w:num w:numId="11" w16cid:durableId="987247784">
    <w:abstractNumId w:val="9"/>
  </w:num>
  <w:num w:numId="12" w16cid:durableId="1911960562">
    <w:abstractNumId w:val="18"/>
  </w:num>
  <w:num w:numId="13" w16cid:durableId="1078022082">
    <w:abstractNumId w:val="6"/>
  </w:num>
  <w:num w:numId="14" w16cid:durableId="2108962646">
    <w:abstractNumId w:val="19"/>
  </w:num>
  <w:num w:numId="15" w16cid:durableId="1846823778">
    <w:abstractNumId w:val="8"/>
  </w:num>
  <w:num w:numId="16" w16cid:durableId="2072920889">
    <w:abstractNumId w:val="21"/>
  </w:num>
  <w:num w:numId="17" w16cid:durableId="783109629">
    <w:abstractNumId w:val="3"/>
  </w:num>
  <w:num w:numId="18" w16cid:durableId="1624995273">
    <w:abstractNumId w:val="22"/>
  </w:num>
  <w:num w:numId="19" w16cid:durableId="2058167491">
    <w:abstractNumId w:val="23"/>
  </w:num>
  <w:num w:numId="20" w16cid:durableId="1552571136">
    <w:abstractNumId w:val="16"/>
  </w:num>
  <w:num w:numId="21" w16cid:durableId="166753421">
    <w:abstractNumId w:val="1"/>
  </w:num>
  <w:num w:numId="22" w16cid:durableId="146290703">
    <w:abstractNumId w:val="7"/>
  </w:num>
  <w:num w:numId="23" w16cid:durableId="451175408">
    <w:abstractNumId w:val="10"/>
  </w:num>
  <w:num w:numId="24" w16cid:durableId="89470490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2078E3"/>
    <w:rsid w:val="002105E2"/>
    <w:rsid w:val="00210F71"/>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24545"/>
    <w:rsid w:val="005300FA"/>
    <w:rsid w:val="0053231B"/>
    <w:rsid w:val="00544AB9"/>
    <w:rsid w:val="005502D5"/>
    <w:rsid w:val="00567DDC"/>
    <w:rsid w:val="00591E4E"/>
    <w:rsid w:val="005921AD"/>
    <w:rsid w:val="005B11AC"/>
    <w:rsid w:val="005B4D4D"/>
    <w:rsid w:val="005C3C3A"/>
    <w:rsid w:val="005D339A"/>
    <w:rsid w:val="005F0853"/>
    <w:rsid w:val="005F4736"/>
    <w:rsid w:val="0060196A"/>
    <w:rsid w:val="00611439"/>
    <w:rsid w:val="00662D65"/>
    <w:rsid w:val="00670089"/>
    <w:rsid w:val="00674482"/>
    <w:rsid w:val="00685125"/>
    <w:rsid w:val="006900E0"/>
    <w:rsid w:val="00696E87"/>
    <w:rsid w:val="006C680B"/>
    <w:rsid w:val="006F2C07"/>
    <w:rsid w:val="007043BD"/>
    <w:rsid w:val="0071699C"/>
    <w:rsid w:val="00724B29"/>
    <w:rsid w:val="00730EEA"/>
    <w:rsid w:val="00750020"/>
    <w:rsid w:val="00754425"/>
    <w:rsid w:val="00772242"/>
    <w:rsid w:val="00772B56"/>
    <w:rsid w:val="007957A5"/>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46EAD"/>
    <w:rsid w:val="00967483"/>
    <w:rsid w:val="00971E50"/>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23D2"/>
    <w:rsid w:val="00B824C9"/>
    <w:rsid w:val="00B94936"/>
    <w:rsid w:val="00BF52F2"/>
    <w:rsid w:val="00C10F8B"/>
    <w:rsid w:val="00C11D34"/>
    <w:rsid w:val="00C1528E"/>
    <w:rsid w:val="00C20CD0"/>
    <w:rsid w:val="00C24572"/>
    <w:rsid w:val="00C40D1B"/>
    <w:rsid w:val="00C461ED"/>
    <w:rsid w:val="00C470ED"/>
    <w:rsid w:val="00C82140"/>
    <w:rsid w:val="00C909D6"/>
    <w:rsid w:val="00CA427D"/>
    <w:rsid w:val="00CB1D7D"/>
    <w:rsid w:val="00CC1778"/>
    <w:rsid w:val="00CD519B"/>
    <w:rsid w:val="00CD6A3E"/>
    <w:rsid w:val="00CD7A76"/>
    <w:rsid w:val="00CE457B"/>
    <w:rsid w:val="00CF5707"/>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99"/>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2565</Words>
  <Characters>15057</Characters>
  <Application>Microsoft Office Word</Application>
  <DocSecurity>0</DocSecurity>
  <Lines>284</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6</cp:revision>
  <cp:lastPrinted>2021-09-15T12:08:00Z</cp:lastPrinted>
  <dcterms:created xsi:type="dcterms:W3CDTF">2025-10-30T15:20:00Z</dcterms:created>
  <dcterms:modified xsi:type="dcterms:W3CDTF">2025-11-03T13:20:00Z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