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32E06A4F" w:rsidR="000F5A89" w:rsidRPr="00BA4255" w:rsidRDefault="00F50BDE" w:rsidP="00F50BDE">
      <w:pPr>
        <w:keepLines/>
        <w:spacing w:before="120" w:line="240" w:lineRule="auto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color w:val="000000"/>
          <w:u w:val="single"/>
        </w:rPr>
        <w:t>T</w:t>
      </w:r>
      <w:r w:rsidR="000F5A89" w:rsidRPr="00BA4255">
        <w:rPr>
          <w:rFonts w:ascii="Tahoma" w:hAnsi="Tahoma" w:cs="Tahoma"/>
          <w:b/>
          <w:color w:val="000000"/>
          <w:u w:val="single"/>
        </w:rPr>
        <w:t>echnická</w:t>
      </w:r>
      <w:r w:rsidR="000F5A89" w:rsidRPr="00BA4255">
        <w:rPr>
          <w:rFonts w:ascii="Tahoma" w:hAnsi="Tahoma" w:cs="Tahoma"/>
          <w:b/>
          <w:u w:val="single"/>
        </w:rPr>
        <w:t xml:space="preserve"> </w:t>
      </w:r>
      <w:r w:rsidR="000F5A89" w:rsidRPr="008702B6">
        <w:rPr>
          <w:rFonts w:ascii="Tahoma" w:hAnsi="Tahoma" w:cs="Tahoma"/>
          <w:b/>
          <w:u w:val="single"/>
        </w:rPr>
        <w:t>specifikace</w:t>
      </w:r>
      <w:r w:rsidR="00CA796F" w:rsidRPr="008702B6">
        <w:rPr>
          <w:rFonts w:ascii="Tahoma" w:hAnsi="Tahoma" w:cs="Tahoma"/>
          <w:b/>
          <w:u w:val="single"/>
        </w:rPr>
        <w:t xml:space="preserve"> VZ projektu</w:t>
      </w:r>
      <w:r w:rsidR="008702B6" w:rsidRPr="008702B6">
        <w:rPr>
          <w:rFonts w:ascii="Tahoma" w:hAnsi="Tahoma" w:cs="Tahoma"/>
          <w:b/>
          <w:u w:val="single"/>
        </w:rPr>
        <w:t xml:space="preserve"> MATUR</w:t>
      </w:r>
      <w:r w:rsidR="00CA796F" w:rsidRPr="008702B6">
        <w:rPr>
          <w:rFonts w:ascii="Tahoma" w:hAnsi="Tahoma" w:cs="Tahoma"/>
          <w:b/>
          <w:u w:val="single"/>
        </w:rPr>
        <w:t xml:space="preserve"> 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59514EFD" w14:textId="071FB1A9" w:rsidR="00CA796F" w:rsidRPr="00EC13DD" w:rsidRDefault="00CA796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CA796F">
        <w:rPr>
          <w:rFonts w:ascii="Tahoma" w:hAnsi="Tahoma" w:cs="Tahoma"/>
          <w:b/>
          <w:sz w:val="20"/>
          <w:szCs w:val="20"/>
        </w:rPr>
        <w:t>Předmět VZ: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E56AE">
        <w:rPr>
          <w:rFonts w:ascii="Tahoma" w:hAnsi="Tahoma" w:cs="Tahoma"/>
          <w:b/>
          <w:sz w:val="20"/>
          <w:szCs w:val="20"/>
        </w:rPr>
        <w:tab/>
      </w:r>
      <w:r w:rsidR="00BA4255">
        <w:rPr>
          <w:rFonts w:ascii="Tahoma" w:hAnsi="Tahoma" w:cs="Tahoma"/>
          <w:b/>
          <w:sz w:val="20"/>
          <w:szCs w:val="20"/>
        </w:rPr>
        <w:tab/>
      </w:r>
      <w:r w:rsidR="008702B6">
        <w:rPr>
          <w:rFonts w:ascii="Arial" w:hAnsi="Arial"/>
          <w:lang w:eastAsia="cs-CZ"/>
        </w:rPr>
        <w:t>SW Kinetics Neo (upgrade)</w:t>
      </w:r>
    </w:p>
    <w:p w14:paraId="4F6E1F1A" w14:textId="72906861" w:rsidR="00DF2E7E" w:rsidRDefault="00DF2E7E" w:rsidP="00EC13DD">
      <w:pPr>
        <w:jc w:val="both"/>
        <w:textAlignment w:val="baseline"/>
        <w:rPr>
          <w:rFonts w:ascii="Arial" w:hAnsi="Arial"/>
          <w:b/>
          <w:bCs/>
          <w:lang w:eastAsia="cs-CZ"/>
        </w:rPr>
      </w:pPr>
    </w:p>
    <w:p w14:paraId="2F87B14A" w14:textId="7BB9DF53" w:rsidR="005F2EB0" w:rsidRDefault="005F2EB0" w:rsidP="005F2EB0">
      <w:pPr>
        <w:jc w:val="both"/>
        <w:textAlignment w:val="baseline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>Upgrade stávající</w:t>
      </w:r>
      <w:r w:rsidR="007A4209">
        <w:rPr>
          <w:rFonts w:ascii="Arial" w:hAnsi="Arial"/>
          <w:lang w:eastAsia="cs-CZ"/>
        </w:rPr>
        <w:t>ch verzí</w:t>
      </w:r>
      <w:r>
        <w:rPr>
          <w:rFonts w:ascii="Arial" w:hAnsi="Arial"/>
          <w:lang w:eastAsia="cs-CZ"/>
        </w:rPr>
        <w:t xml:space="preserve"> SW Kinetics NEO </w:t>
      </w:r>
      <w:r w:rsidR="007A4209">
        <w:rPr>
          <w:rFonts w:ascii="Arial" w:hAnsi="Arial"/>
          <w:lang w:eastAsia="cs-CZ"/>
        </w:rPr>
        <w:t>na pracovišti zadavatele</w:t>
      </w:r>
      <w:r>
        <w:rPr>
          <w:rFonts w:ascii="Arial" w:hAnsi="Arial"/>
          <w:lang w:eastAsia="cs-CZ"/>
        </w:rPr>
        <w:t>, akademická verze</w:t>
      </w:r>
      <w:r w:rsidR="00071AF5">
        <w:rPr>
          <w:rFonts w:ascii="Arial" w:hAnsi="Arial"/>
          <w:lang w:eastAsia="cs-CZ"/>
        </w:rPr>
        <w:t xml:space="preserve">, na nejvyšší v současnosti vydanou verzi, včetně údržby a podpory (maintenance and support). Nutná kompatibilita se stávajícím software zadavatele VZ.  </w:t>
      </w:r>
    </w:p>
    <w:p w14:paraId="660B7CC0" w14:textId="77777777" w:rsidR="004E07FF" w:rsidRDefault="004E07F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1E4F23C7" w14:textId="627D7891" w:rsidR="009A4C16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1A5A28CB" w14:textId="77777777" w:rsidR="006C2E9B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250"/>
      </w:tblGrid>
      <w:tr w:rsidR="006C2E9B" w:rsidRPr="00FE4EF7" w14:paraId="7F6F4DE5" w14:textId="77777777" w:rsidTr="008702B6">
        <w:trPr>
          <w:trHeight w:val="43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1780CF7" w14:textId="77777777" w:rsidR="006C2E9B" w:rsidRPr="00FE4EF7" w:rsidRDefault="006C2E9B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Parametr </w:t>
            </w:r>
            <w:r w:rsidRPr="00FE4EF7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5965824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03C032F3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Hodnota účastníka </w:t>
            </w:r>
          </w:p>
        </w:tc>
      </w:tr>
      <w:tr w:rsidR="006C2E9B" w:rsidRPr="00FE4EF7" w14:paraId="2CBA4B72" w14:textId="77777777" w:rsidTr="00427EFD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C0C3E2E" w14:textId="0B00DB82" w:rsidR="006C2E9B" w:rsidRPr="00FE4EF7" w:rsidRDefault="003C6035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b/>
                <w:bCs/>
                <w:caps/>
                <w:lang w:eastAsia="cs-CZ"/>
              </w:rPr>
              <w:t>KINETICKÝ SOFTWARE</w:t>
            </w:r>
            <w:r w:rsidR="008702B6">
              <w:rPr>
                <w:rFonts w:ascii="Arial" w:hAnsi="Arial" w:cs="Arial"/>
                <w:b/>
                <w:bCs/>
                <w:caps/>
                <w:lang w:eastAsia="cs-CZ"/>
              </w:rPr>
              <w:t xml:space="preserve"> KInetics Neo (upgrade)</w:t>
            </w:r>
          </w:p>
        </w:tc>
      </w:tr>
      <w:tr w:rsidR="006C2E9B" w:rsidRPr="00071AF5" w14:paraId="42A89E4B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3CE1C21" w14:textId="7E448D01" w:rsidR="006C2E9B" w:rsidRPr="00071AF5" w:rsidRDefault="003C6035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stanovovat kinetickou analýzu z minimálně následujících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typů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dat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DSC, 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DTA, TGA, DIL, DEA, Viscosity, Rheometry.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B70C42E" w14:textId="4B693680" w:rsidR="00FD3427" w:rsidRPr="00071AF5" w:rsidRDefault="00FD3427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kinetické analýzy z dat DSC, DTA, TGA, DIL, DEA, Viscosity, Rheometry.</w:t>
            </w:r>
          </w:p>
          <w:p w14:paraId="1519D597" w14:textId="6C226113" w:rsidR="006C2E9B" w:rsidRPr="00071AF5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B23ACCB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524E9" w:rsidRPr="00071AF5" w14:paraId="3B6D1F10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47EB7FD" w14:textId="1E1655FC" w:rsidR="003524E9" w:rsidRPr="00071AF5" w:rsidRDefault="003524E9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musí umožňovat kinetickou analýzu jak jednokrokových procesů, tak vícekrokových fyzikálně-chemických procesů.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C652E01" w14:textId="38CB6C7E" w:rsidR="003524E9" w:rsidRPr="00071AF5" w:rsidRDefault="003524E9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kinetické analýzy jednokrokových i vícekrokových procesů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A2AA54" w14:textId="77777777" w:rsidR="003524E9" w:rsidRPr="00071AF5" w:rsidRDefault="003524E9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4DD1755C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9CD8613" w14:textId="3AE45134" w:rsidR="006C2E9B" w:rsidRPr="00071AF5" w:rsidRDefault="00FD3427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</w:t>
            </w:r>
            <w:r w:rsidR="00376725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kinetickou analýzu </w:t>
            </w:r>
            <w:r w:rsidR="003921C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dat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na základě model-free metod podle ASTM E698, ASTM E2890 a ASTM 1641.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C9D7725" w14:textId="52D2610B" w:rsidR="006C2E9B" w:rsidRPr="00071AF5" w:rsidRDefault="00FD3427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podle </w:t>
            </w:r>
            <w:r w:rsidR="00274DDC" w:rsidRPr="00071AF5">
              <w:rPr>
                <w:rFonts w:ascii="Arial" w:hAnsi="Arial" w:cs="Arial"/>
                <w:sz w:val="20"/>
                <w:szCs w:val="20"/>
                <w:lang w:eastAsia="cs-CZ"/>
              </w:rPr>
              <w:t>ASTM E698, ASTM E2890 a ASTM 1641.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FF0A40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C408CC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7903BEF" w14:textId="18345270" w:rsidR="006C2E9B" w:rsidRPr="00071AF5" w:rsidRDefault="00274DDC" w:rsidP="002258C7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kinetickou analýzu</w:t>
            </w:r>
            <w:r w:rsidR="003921C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pomocí model-free metod: Friedman, Ozawa-Flynn-Wall (OFW), Kissinger-Akahari-Sunose (KAS), Vyazovkin for dynamic data, Numerical Optimatization.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3584724" w14:textId="3A8359FB" w:rsidR="006C2E9B" w:rsidRPr="00071AF5" w:rsidRDefault="00274DDC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kinetické analýzy podle Friedman, Ozawa-Flynn-Wall (OFW), Kissinger-Akahari-Sunose (KAS), Vyazovkin for dynamic data, Numerical Optimatization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CAE3215" w14:textId="77777777" w:rsidR="006C2E9B" w:rsidRPr="00071AF5" w:rsidRDefault="006C2E9B" w:rsidP="00B0210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E9B" w:rsidRPr="00071AF5" w14:paraId="3F3AA4C9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8926AA7" w14:textId="4E4A8428" w:rsidR="006C2E9B" w:rsidRPr="00071AF5" w:rsidRDefault="003921C1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1AF5">
              <w:rPr>
                <w:rFonts w:ascii="Arial" w:hAnsi="Arial" w:cs="Arial"/>
                <w:bCs/>
                <w:sz w:val="20"/>
                <w:szCs w:val="20"/>
              </w:rPr>
              <w:t>Grafické v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>ýstupy z model-free metod kinetické analýzy musí obsahovat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všechny tyto možnosti: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grafické zpracování modelu, graf závislosti aktivační energie</w:t>
            </w:r>
            <w:r w:rsidR="000D7C36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a frekvenčního faktoru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na stupni konverze,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fitování (porovnání experimentálních dat s modelem) pro signál, konverzi a rychlost konverze.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4125BC3" w14:textId="469E9F1A" w:rsidR="006C2E9B" w:rsidRPr="00071AF5" w:rsidRDefault="003921C1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následujících grafických výstupů z model-free metod: 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>grafické zpracování modelu, graf závislosti aktivační energie</w:t>
            </w:r>
            <w:r w:rsidR="000D7C36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a frekvenčního faktoru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na stupni konverze, fitování (porovnání experimentálních dat s modelem) pro signál, konverzi a rychlost konverze.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57328A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E6B90A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7D085E4" w14:textId="675CD9BD" w:rsidR="006C2E9B" w:rsidRPr="00071AF5" w:rsidRDefault="003524E9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kinetickou analýzu dat na základě výběru model-based metody (nabídka minimálně 20 metod) s tím, že každý krok</w:t>
            </w:r>
            <w:r w:rsidR="008B618A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vícekrokového procesu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je analyzován samostatně.</w:t>
            </w:r>
            <w:r w:rsidR="008B618A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5AD519F" w14:textId="3B936DCE" w:rsidR="006C2E9B" w:rsidRPr="00071AF5" w:rsidRDefault="003524E9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analýzy pomocí model-based metod (minimálně 20), možnost analýzy každého kroku vícekrokového procesu samostatně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2119C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B618A" w:rsidRPr="00071AF5" w14:paraId="3A8E2206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BFC9CB4" w14:textId="3ACEDB05" w:rsidR="008B618A" w:rsidRPr="00071AF5" w:rsidRDefault="008B618A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SW musí umožňovat analýzu následných i souběžných dějů, i nezávislých dějů.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514635A" w14:textId="17CD24ED" w:rsidR="008B618A" w:rsidRPr="00071AF5" w:rsidRDefault="008B618A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analýzy vícekrokových dějů následných, souběžných i nezávislých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347C37" w14:textId="77777777" w:rsidR="008B618A" w:rsidRPr="00071AF5" w:rsidRDefault="008B618A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7ED4AD79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422D663" w14:textId="77777777" w:rsidR="00A70902" w:rsidRPr="00071AF5" w:rsidRDefault="003524E9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Model-based metody musejí obsahovat minimálně tyto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reakční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modely: </w:t>
            </w:r>
          </w:p>
          <w:p w14:paraId="5CC94E7B" w14:textId="6201833D" w:rsidR="00A70902" w:rsidRPr="00071AF5" w:rsidRDefault="00A70902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1., 2. a n-tého řádu bez autokatalýzy;</w:t>
            </w:r>
          </w:p>
          <w:p w14:paraId="31D4B7D9" w14:textId="65B44D77" w:rsidR="00A70902" w:rsidRPr="00071AF5" w:rsidRDefault="00A70902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Reverzibilní reakce n-tého řádu;</w:t>
            </w:r>
          </w:p>
          <w:p w14:paraId="489DE0A4" w14:textId="4023C335" w:rsidR="00A70902" w:rsidRPr="00071AF5" w:rsidRDefault="008B618A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Reakce 1., a n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-tého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 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autokatalýz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ou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včetně 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rovnic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Prout-Tompkins a Kamal-Sourour</w:t>
            </w:r>
          </w:p>
          <w:p w14:paraId="7D876AD3" w14:textId="7F605026" w:rsidR="0033391C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rozšířenou Prout-Tompkinsovu rovnici</w:t>
            </w:r>
          </w:p>
          <w:p w14:paraId="6BBFC120" w14:textId="650FAD51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na fázovém rozhraní (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D, 3D)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660E8C1" w14:textId="50D8D41F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D, 2D, 3D difúze (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Janderův typ a Ginstling-Brounstein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ův typ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3ECDFEF8" w14:textId="294E832E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difúze s n-tým řádem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7FBB352D" w14:textId="378B262E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Prout-Tompkingsova reakce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4BF3EB52" w14:textId="2F997B9B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D, 3D, nD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nukleace podle Avramiho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679778E3" w14:textId="18E01B3F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Reakce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řízené difúzí</w:t>
            </w:r>
          </w:p>
          <w:p w14:paraId="6B5594FD" w14:textId="5BFD6CFB" w:rsidR="006C2E9B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Krystalizace podle Nakamurovy rovnice s použitím Hoffman-Lauritzenovy teorie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039D4A4" w14:textId="77777777" w:rsidR="000D7C36" w:rsidRPr="00071AF5" w:rsidRDefault="0033391C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pomocí </w:t>
            </w:r>
            <w:r w:rsidR="000D7C36" w:rsidRPr="00071AF5">
              <w:rPr>
                <w:rFonts w:ascii="Arial" w:hAnsi="Arial" w:cs="Arial"/>
                <w:sz w:val="20"/>
                <w:szCs w:val="20"/>
                <w:lang w:eastAsia="cs-CZ"/>
              </w:rPr>
              <w:t>reakčních modelů:</w:t>
            </w:r>
          </w:p>
          <w:p w14:paraId="759F8D70" w14:textId="4E16AB1C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-Reakce 1., 2. a n-tého řádu bez autokatalýzy;</w:t>
            </w:r>
          </w:p>
          <w:p w14:paraId="0501F741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Reverzibilní reakce n-tého řádu;</w:t>
            </w:r>
          </w:p>
          <w:p w14:paraId="37772BF1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1., a n-tého řádu s autokatalýzou včetně rovnic Prout-Tompkins a Kamal-Sourour</w:t>
            </w:r>
          </w:p>
          <w:p w14:paraId="71DD8049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rozšířenou Prout-Tompkinsovu rovnici</w:t>
            </w:r>
          </w:p>
          <w:p w14:paraId="598F5226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Reakce na fázovém rozhraní (2D, 3D) </w:t>
            </w:r>
          </w:p>
          <w:p w14:paraId="6A4F6FB7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- 1D, 2D, 3D difúze (Janderův typ a Ginstling-Brounsteinův typ);</w:t>
            </w:r>
          </w:p>
          <w:p w14:paraId="047DBF9D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- 1D difúze s n-tým řádem;</w:t>
            </w:r>
          </w:p>
          <w:p w14:paraId="672C8E60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Prout-Tompkingsova reakce;</w:t>
            </w:r>
          </w:p>
          <w:p w14:paraId="335ED663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- 2D, 3D, nD nukleace podle Avramiho;</w:t>
            </w:r>
          </w:p>
          <w:p w14:paraId="585361D0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řízené difúzí</w:t>
            </w:r>
          </w:p>
          <w:p w14:paraId="4D419E61" w14:textId="11DC5E34" w:rsidR="006C2E9B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Krystalizace podle Nakamurovy rovnice s použitím Hoffman-Lauritzenovy teorie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65BB70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656CA570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0FE97A" w14:textId="478539CE" w:rsidR="006C2E9B" w:rsidRPr="00071AF5" w:rsidRDefault="000D7C36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Výsledky z model-based analýzy musí poskytovat schéma navrženého reakčního modelu a minimálně tyto parametry pro každý krok: Typ reakce, Aktivační energii, Frekvenční faktor, Řád reakce, Hodnotu příspěvku kroku k celkovému efektu. 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D7CC42A" w14:textId="3F59AB29" w:rsidR="006C2E9B" w:rsidRPr="00071AF5" w:rsidRDefault="000D7C36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získání schéma kinetického modelu a </w:t>
            </w:r>
            <w:r w:rsidR="002C4062" w:rsidRPr="00071AF5">
              <w:rPr>
                <w:rFonts w:ascii="Arial" w:hAnsi="Arial" w:cs="Arial"/>
                <w:sz w:val="20"/>
                <w:szCs w:val="20"/>
                <w:lang w:eastAsia="cs-CZ"/>
              </w:rPr>
              <w:t>minimálně následující parametry ke každému kroku:</w:t>
            </w:r>
            <w:r w:rsidR="002C4062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Typ reakce, Aktivační energii, Frekvenční faktor, Řád reakce, Hodnotu příspěvku kroku k celkovému efektu.  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7E46BD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7B2F1545" w14:textId="77777777" w:rsidTr="008702B6">
        <w:trPr>
          <w:trHeight w:val="21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139F5E" w14:textId="50D81646" w:rsidR="006C2E9B" w:rsidRPr="00071AF5" w:rsidRDefault="002C4062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Výsledky z model-based analýzy musí poskytovat minimálně tyto statistické výsledky ke každému modelu: Koeficient determinace, Součet čtverců odchylek, t-test, F-test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FD59F48" w14:textId="15D60F71" w:rsidR="006C2E9B" w:rsidRPr="00071AF5" w:rsidRDefault="00C8507D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získání statistické analýzy kinetického modelu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C679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2E851439" w14:textId="77777777" w:rsidTr="008702B6">
        <w:trPr>
          <w:trHeight w:val="4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84FFD36" w14:textId="2E2D0109" w:rsidR="006C2E9B" w:rsidRPr="00071AF5" w:rsidRDefault="003A33D8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musí umožňovat také predikci chování zkoumaného materiálu na základě provedené kinetické analýzy, a to pro různé zadané podmínky, např. izotermické teploty, 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různé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rychlosti ohřevu či ochlazování, modulované předpovědi, adiabatické podmínky, klimatické podmínky, TTT diagram pro reakce řízené difúzí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>. Musí umožnit také predikci na základě uživatelem definovaného teplotního programu.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FB1F848" w14:textId="4965EB32" w:rsidR="006C2E9B" w:rsidRPr="00071AF5" w:rsidRDefault="005D06AF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>predikce kinetického chování materiálu na základě podmínek zadaných uživatelem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8E98B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4ABC2B25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BDE0EC7" w14:textId="4250DE04" w:rsidR="00E57251" w:rsidRPr="00071AF5" w:rsidRDefault="00C8507D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umožnit následující grafickou prezentaci dat a výsledků:</w:t>
            </w:r>
            <w:r w:rsidR="00376725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E5725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Prezentace dat v grafickém formátu s osami X jako teplota, čas nebo logaritmus času. Osy Y v absolutním měřítku nebo relativním měřítku od minimální </w:t>
            </w:r>
            <w:r w:rsidR="00E57251"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po maximální hodnotu pro každou křivku s daty:</w:t>
            </w:r>
          </w:p>
          <w:p w14:paraId="50E9B159" w14:textId="77777777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Výstup měření (signál)</w:t>
            </w:r>
          </w:p>
          <w:p w14:paraId="304580FE" w14:textId="77777777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Konverze</w:t>
            </w:r>
          </w:p>
          <w:p w14:paraId="75726C0F" w14:textId="0C296062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Rychlost konverze</w:t>
            </w:r>
          </w:p>
          <w:p w14:paraId="41A868D8" w14:textId="5A4EF2C1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Rychlost konverze reaktantů, pouze pro model-based metody</w:t>
            </w:r>
          </w:p>
          <w:p w14:paraId="42659896" w14:textId="727E4748" w:rsidR="00C8507D" w:rsidRPr="00071AF5" w:rsidRDefault="00E57251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Suma píků: Prezentace celkové křivky reakční rychlosti jako součtu jednotlivých reakčních kroků, pouze pro model-based metody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9B9014" w14:textId="79745D74" w:rsidR="006C2E9B" w:rsidRPr="00071AF5" w:rsidRDefault="00E57251" w:rsidP="00E57251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možnost grafické prezentace dat a výsledků, osa X: teplota nebo čas nebo logaritmus času. Osa Y v absolutním nebo relativním měřítku od minimální po maximální hodnotu pro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každou křivku s daty: Výstup měření (signál); Konverze; Rychlost konverze; ∙ Rychlost konverze reaktantů, pouze pro model-based </w:t>
            </w:r>
            <w:r w:rsidR="006A07CA" w:rsidRPr="00071AF5">
              <w:rPr>
                <w:rFonts w:ascii="Arial" w:hAnsi="Arial" w:cs="Arial"/>
                <w:sz w:val="20"/>
                <w:szCs w:val="20"/>
                <w:lang w:eastAsia="cs-CZ"/>
              </w:rPr>
              <w:t>metody; Suma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píků, pouze pro model-based metody.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F3241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6C2E9B" w:rsidRPr="00071AF5" w14:paraId="693F5444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D00B66" w14:textId="058B541B" w:rsidR="006C2E9B" w:rsidRPr="00071AF5" w:rsidRDefault="00E57251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Grafické výsledky musí umožňovat: Výběr vizuálního motivu pro uživatelské rozhraní; Přidání vertikální nebo horizontální mřížky, Přidání legendy; Přidání textových bloků</w:t>
            </w:r>
            <w:r w:rsidR="00C0697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do grafiky.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B52238A" w14:textId="2A16AF2B" w:rsidR="006C2E9B" w:rsidRPr="00071AF5" w:rsidRDefault="00C06971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přidání vertikální nebo horizontální mřížky, legendy nebo textových bloků do grafiky.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2A5D0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76725" w:rsidRPr="00071AF5" w14:paraId="6AF55467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645E4E2" w14:textId="3EDA8857" w:rsidR="00376725" w:rsidRPr="00071AF5" w:rsidRDefault="00C06971" w:rsidP="00C0697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následující způsoby exportu pro všechna data, výsledky analýz, předpovědi a optimalizace: ASCII export výsledků včetně naměřených dat a simulovaných křivek aktivační energie a frekvenční faktory pro model-free metody; zkopírovat grafiku do schránky; Uložit grafiku jako obrázek do formátu PNG. Pro model-based analýzu: exportovat rovnice pro reakční rychlost pro každý jednotlivý reakční krok v kinetickém modelu; rovnice pro koncentraci každého reaktantu; rovnici rovnováhy pro celkový signál, jako je DSC/TGA/DIL atd; zkopírovat obrázek modelu do schránky</w:t>
            </w:r>
            <w:r w:rsidR="00F950DF" w:rsidRPr="00071AF5">
              <w:rPr>
                <w:rFonts w:ascii="Arial" w:hAnsi="Arial" w:cs="Arial"/>
                <w:sz w:val="20"/>
                <w:szCs w:val="20"/>
                <w:lang w:eastAsia="cs-CZ"/>
              </w:rPr>
              <w:t>, e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xport modelu </w:t>
            </w:r>
            <w:r w:rsidR="00F950DF" w:rsidRPr="00071AF5">
              <w:rPr>
                <w:rFonts w:ascii="Arial" w:hAnsi="Arial" w:cs="Arial"/>
                <w:sz w:val="20"/>
                <w:szCs w:val="20"/>
                <w:lang w:eastAsia="cs-CZ"/>
              </w:rPr>
              <w:t>jako obrázek v PNG formátu.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26A655A" w14:textId="4A34678E" w:rsidR="00376725" w:rsidRPr="00071AF5" w:rsidRDefault="00243BDF" w:rsidP="00CD0E10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následujících způsobů exportu dat, výsledků analýz, předpovědí a optimalizace: ASCII export výsledků včetně naměřených dat a simulovaných křivek aktivační energie a frekvenční faktory pro model-free metody; zkopírovat grafiku do schránky; Uložit grafiku jako obrázek do formátu PNG. Pro model-based analýzu: exportovat rovnice pro reakční rychlost pro každý jednotlivý reakční krok v kinetickém modelu; rovnice pro koncentraci každého reaktantu; rovnici rovnováhy pro celkový signál, jako je DSC/TGA/DIL atd; zkopírovat obrázek modelu do schránky, export modelu jako obrázek v PNG formátu.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6BF10D4" w14:textId="77777777" w:rsidR="00376725" w:rsidRPr="00071AF5" w:rsidRDefault="00376725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bookmarkEnd w:id="0"/>
    </w:tbl>
    <w:p w14:paraId="7C3A3E61" w14:textId="77777777" w:rsidR="006C2E9B" w:rsidRPr="00071AF5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sectPr w:rsidR="006C2E9B" w:rsidRPr="0007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45A"/>
    <w:multiLevelType w:val="hybridMultilevel"/>
    <w:tmpl w:val="35208FC4"/>
    <w:lvl w:ilvl="0" w:tplc="2DF44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22"/>
  </w:num>
  <w:num w:numId="5">
    <w:abstractNumId w:val="3"/>
  </w:num>
  <w:num w:numId="6">
    <w:abstractNumId w:val="20"/>
  </w:num>
  <w:num w:numId="7">
    <w:abstractNumId w:val="31"/>
  </w:num>
  <w:num w:numId="8">
    <w:abstractNumId w:val="26"/>
  </w:num>
  <w:num w:numId="9">
    <w:abstractNumId w:val="27"/>
  </w:num>
  <w:num w:numId="10">
    <w:abstractNumId w:val="35"/>
  </w:num>
  <w:num w:numId="11">
    <w:abstractNumId w:val="14"/>
  </w:num>
  <w:num w:numId="12">
    <w:abstractNumId w:val="23"/>
  </w:num>
  <w:num w:numId="13">
    <w:abstractNumId w:val="10"/>
  </w:num>
  <w:num w:numId="14">
    <w:abstractNumId w:val="36"/>
  </w:num>
  <w:num w:numId="15">
    <w:abstractNumId w:val="37"/>
  </w:num>
  <w:num w:numId="16">
    <w:abstractNumId w:val="15"/>
  </w:num>
  <w:num w:numId="17">
    <w:abstractNumId w:val="19"/>
  </w:num>
  <w:num w:numId="18">
    <w:abstractNumId w:val="4"/>
  </w:num>
  <w:num w:numId="19">
    <w:abstractNumId w:val="2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34"/>
  </w:num>
  <w:num w:numId="34">
    <w:abstractNumId w:val="21"/>
  </w:num>
  <w:num w:numId="35">
    <w:abstractNumId w:val="33"/>
  </w:num>
  <w:num w:numId="36">
    <w:abstractNumId w:val="28"/>
  </w:num>
  <w:num w:numId="37">
    <w:abstractNumId w:val="9"/>
  </w:num>
  <w:num w:numId="38">
    <w:abstractNumId w:val="18"/>
  </w:num>
  <w:num w:numId="39">
    <w:abstractNumId w:val="29"/>
  </w:num>
  <w:num w:numId="40">
    <w:abstractNumId w:val="8"/>
  </w:num>
  <w:num w:numId="41">
    <w:abstractNumId w:val="5"/>
  </w:num>
  <w:num w:numId="42">
    <w:abstractNumId w:val="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16"/>
    <w:rsid w:val="000016B3"/>
    <w:rsid w:val="000017B9"/>
    <w:rsid w:val="00021036"/>
    <w:rsid w:val="00021908"/>
    <w:rsid w:val="00034C9E"/>
    <w:rsid w:val="00034F09"/>
    <w:rsid w:val="0005358B"/>
    <w:rsid w:val="0005369F"/>
    <w:rsid w:val="00071AF5"/>
    <w:rsid w:val="0007731C"/>
    <w:rsid w:val="0008766D"/>
    <w:rsid w:val="000A0485"/>
    <w:rsid w:val="000A1E35"/>
    <w:rsid w:val="000A4365"/>
    <w:rsid w:val="000B3EDA"/>
    <w:rsid w:val="000C0A87"/>
    <w:rsid w:val="000D7C36"/>
    <w:rsid w:val="000E2928"/>
    <w:rsid w:val="000E6118"/>
    <w:rsid w:val="000E63AD"/>
    <w:rsid w:val="000F5A89"/>
    <w:rsid w:val="000F7777"/>
    <w:rsid w:val="00101875"/>
    <w:rsid w:val="001137A7"/>
    <w:rsid w:val="0013004D"/>
    <w:rsid w:val="00131315"/>
    <w:rsid w:val="00135C9A"/>
    <w:rsid w:val="00140B90"/>
    <w:rsid w:val="00157D58"/>
    <w:rsid w:val="00167C09"/>
    <w:rsid w:val="00176580"/>
    <w:rsid w:val="00177C9C"/>
    <w:rsid w:val="00185FA2"/>
    <w:rsid w:val="001A3462"/>
    <w:rsid w:val="001A5B15"/>
    <w:rsid w:val="001A6500"/>
    <w:rsid w:val="001C1AD7"/>
    <w:rsid w:val="001C24D7"/>
    <w:rsid w:val="001C3280"/>
    <w:rsid w:val="001D1E83"/>
    <w:rsid w:val="001D2E0B"/>
    <w:rsid w:val="001F6E40"/>
    <w:rsid w:val="00207BF6"/>
    <w:rsid w:val="002210BD"/>
    <w:rsid w:val="002258C7"/>
    <w:rsid w:val="002339CF"/>
    <w:rsid w:val="0024072D"/>
    <w:rsid w:val="00243BDF"/>
    <w:rsid w:val="00243FEB"/>
    <w:rsid w:val="00271F86"/>
    <w:rsid w:val="00272290"/>
    <w:rsid w:val="00274DDC"/>
    <w:rsid w:val="00287A50"/>
    <w:rsid w:val="0029170F"/>
    <w:rsid w:val="00294FE9"/>
    <w:rsid w:val="00297FC4"/>
    <w:rsid w:val="002A2040"/>
    <w:rsid w:val="002A7E93"/>
    <w:rsid w:val="002B310F"/>
    <w:rsid w:val="002B5C98"/>
    <w:rsid w:val="002C4062"/>
    <w:rsid w:val="002D12D7"/>
    <w:rsid w:val="002E0185"/>
    <w:rsid w:val="002F06B6"/>
    <w:rsid w:val="0030249C"/>
    <w:rsid w:val="00312B6D"/>
    <w:rsid w:val="0033391C"/>
    <w:rsid w:val="003524E9"/>
    <w:rsid w:val="00365742"/>
    <w:rsid w:val="00370820"/>
    <w:rsid w:val="003751BC"/>
    <w:rsid w:val="00376725"/>
    <w:rsid w:val="003842D2"/>
    <w:rsid w:val="003921C1"/>
    <w:rsid w:val="003941FC"/>
    <w:rsid w:val="003A33D8"/>
    <w:rsid w:val="003B4F74"/>
    <w:rsid w:val="003C08D8"/>
    <w:rsid w:val="003C6035"/>
    <w:rsid w:val="003D4378"/>
    <w:rsid w:val="003F0568"/>
    <w:rsid w:val="003F4CF7"/>
    <w:rsid w:val="00404E24"/>
    <w:rsid w:val="00410269"/>
    <w:rsid w:val="00422817"/>
    <w:rsid w:val="004249D0"/>
    <w:rsid w:val="00434A16"/>
    <w:rsid w:val="00435715"/>
    <w:rsid w:val="00445ABF"/>
    <w:rsid w:val="00467028"/>
    <w:rsid w:val="00481F61"/>
    <w:rsid w:val="004A41F3"/>
    <w:rsid w:val="004B220D"/>
    <w:rsid w:val="004B2211"/>
    <w:rsid w:val="004C2560"/>
    <w:rsid w:val="004C2823"/>
    <w:rsid w:val="004E07FF"/>
    <w:rsid w:val="004E3928"/>
    <w:rsid w:val="004E5E9E"/>
    <w:rsid w:val="004E6322"/>
    <w:rsid w:val="004E6FC9"/>
    <w:rsid w:val="004F6172"/>
    <w:rsid w:val="005035F3"/>
    <w:rsid w:val="0052182D"/>
    <w:rsid w:val="005423FE"/>
    <w:rsid w:val="0055155C"/>
    <w:rsid w:val="00552A1F"/>
    <w:rsid w:val="005531EF"/>
    <w:rsid w:val="0055732A"/>
    <w:rsid w:val="0057209D"/>
    <w:rsid w:val="00574F11"/>
    <w:rsid w:val="0058146D"/>
    <w:rsid w:val="005905E8"/>
    <w:rsid w:val="00593306"/>
    <w:rsid w:val="005A6549"/>
    <w:rsid w:val="005D054C"/>
    <w:rsid w:val="005D06AF"/>
    <w:rsid w:val="005D4AD2"/>
    <w:rsid w:val="005D7DC5"/>
    <w:rsid w:val="005D7EE9"/>
    <w:rsid w:val="005E2387"/>
    <w:rsid w:val="005F2EB0"/>
    <w:rsid w:val="00604326"/>
    <w:rsid w:val="00610DE7"/>
    <w:rsid w:val="006277A4"/>
    <w:rsid w:val="006434C2"/>
    <w:rsid w:val="00643E07"/>
    <w:rsid w:val="00653169"/>
    <w:rsid w:val="006707B0"/>
    <w:rsid w:val="00672ACA"/>
    <w:rsid w:val="00684DED"/>
    <w:rsid w:val="0069013F"/>
    <w:rsid w:val="00695C5A"/>
    <w:rsid w:val="006969DC"/>
    <w:rsid w:val="00696F87"/>
    <w:rsid w:val="006A07CA"/>
    <w:rsid w:val="006A0F29"/>
    <w:rsid w:val="006C1DF8"/>
    <w:rsid w:val="006C2AF2"/>
    <w:rsid w:val="006C2E9B"/>
    <w:rsid w:val="007036D9"/>
    <w:rsid w:val="00730C0E"/>
    <w:rsid w:val="00733B71"/>
    <w:rsid w:val="0073441C"/>
    <w:rsid w:val="00747565"/>
    <w:rsid w:val="00754D2E"/>
    <w:rsid w:val="007559E5"/>
    <w:rsid w:val="0075783B"/>
    <w:rsid w:val="00764466"/>
    <w:rsid w:val="007748F6"/>
    <w:rsid w:val="00774DC8"/>
    <w:rsid w:val="00781C82"/>
    <w:rsid w:val="007833CD"/>
    <w:rsid w:val="00783B5C"/>
    <w:rsid w:val="007961E9"/>
    <w:rsid w:val="00797A75"/>
    <w:rsid w:val="007A1D6D"/>
    <w:rsid w:val="007A2C10"/>
    <w:rsid w:val="007A4209"/>
    <w:rsid w:val="007A7C4E"/>
    <w:rsid w:val="007C277F"/>
    <w:rsid w:val="007C7295"/>
    <w:rsid w:val="007C755D"/>
    <w:rsid w:val="007D08E6"/>
    <w:rsid w:val="007E004E"/>
    <w:rsid w:val="007E7C7A"/>
    <w:rsid w:val="007F47DD"/>
    <w:rsid w:val="00807DA1"/>
    <w:rsid w:val="00855129"/>
    <w:rsid w:val="00855BD8"/>
    <w:rsid w:val="008617F4"/>
    <w:rsid w:val="0086194D"/>
    <w:rsid w:val="0086453C"/>
    <w:rsid w:val="0086785D"/>
    <w:rsid w:val="008702B6"/>
    <w:rsid w:val="008803A0"/>
    <w:rsid w:val="00890C92"/>
    <w:rsid w:val="008916CE"/>
    <w:rsid w:val="008B1A7C"/>
    <w:rsid w:val="008B618A"/>
    <w:rsid w:val="008B7025"/>
    <w:rsid w:val="008D150C"/>
    <w:rsid w:val="008D3DD0"/>
    <w:rsid w:val="008D4B82"/>
    <w:rsid w:val="008E1729"/>
    <w:rsid w:val="008F1975"/>
    <w:rsid w:val="008F26CF"/>
    <w:rsid w:val="008F3FDF"/>
    <w:rsid w:val="008F6CA4"/>
    <w:rsid w:val="008F7C34"/>
    <w:rsid w:val="00905027"/>
    <w:rsid w:val="0093007C"/>
    <w:rsid w:val="00935A44"/>
    <w:rsid w:val="00951053"/>
    <w:rsid w:val="009567FE"/>
    <w:rsid w:val="009574DA"/>
    <w:rsid w:val="00962E57"/>
    <w:rsid w:val="009740CA"/>
    <w:rsid w:val="00977A13"/>
    <w:rsid w:val="00980F44"/>
    <w:rsid w:val="00985387"/>
    <w:rsid w:val="00991948"/>
    <w:rsid w:val="009A03F0"/>
    <w:rsid w:val="009A4C16"/>
    <w:rsid w:val="009B6AE8"/>
    <w:rsid w:val="009C54D1"/>
    <w:rsid w:val="009E0544"/>
    <w:rsid w:val="009E46AD"/>
    <w:rsid w:val="009E4BDF"/>
    <w:rsid w:val="009E6BD7"/>
    <w:rsid w:val="00A121E7"/>
    <w:rsid w:val="00A12F78"/>
    <w:rsid w:val="00A162A3"/>
    <w:rsid w:val="00A2225D"/>
    <w:rsid w:val="00A373A3"/>
    <w:rsid w:val="00A444F9"/>
    <w:rsid w:val="00A50255"/>
    <w:rsid w:val="00A52D16"/>
    <w:rsid w:val="00A5336B"/>
    <w:rsid w:val="00A54498"/>
    <w:rsid w:val="00A5531B"/>
    <w:rsid w:val="00A55E2D"/>
    <w:rsid w:val="00A55F02"/>
    <w:rsid w:val="00A629B1"/>
    <w:rsid w:val="00A649FF"/>
    <w:rsid w:val="00A70902"/>
    <w:rsid w:val="00A71306"/>
    <w:rsid w:val="00A71F16"/>
    <w:rsid w:val="00A73D50"/>
    <w:rsid w:val="00A9149D"/>
    <w:rsid w:val="00AB5D2D"/>
    <w:rsid w:val="00AB69E8"/>
    <w:rsid w:val="00AB7859"/>
    <w:rsid w:val="00AC7B85"/>
    <w:rsid w:val="00AD1C3F"/>
    <w:rsid w:val="00AF0E30"/>
    <w:rsid w:val="00B01DB5"/>
    <w:rsid w:val="00B02109"/>
    <w:rsid w:val="00B047BC"/>
    <w:rsid w:val="00B07DC9"/>
    <w:rsid w:val="00B24DF8"/>
    <w:rsid w:val="00B315B9"/>
    <w:rsid w:val="00B5708A"/>
    <w:rsid w:val="00B5743B"/>
    <w:rsid w:val="00B81060"/>
    <w:rsid w:val="00B83CA7"/>
    <w:rsid w:val="00B92FF3"/>
    <w:rsid w:val="00BA4255"/>
    <w:rsid w:val="00BA4D9C"/>
    <w:rsid w:val="00BB0699"/>
    <w:rsid w:val="00BC41A3"/>
    <w:rsid w:val="00BC431C"/>
    <w:rsid w:val="00BD340C"/>
    <w:rsid w:val="00BD671B"/>
    <w:rsid w:val="00BE068D"/>
    <w:rsid w:val="00C06971"/>
    <w:rsid w:val="00C240C9"/>
    <w:rsid w:val="00C24B31"/>
    <w:rsid w:val="00C262EB"/>
    <w:rsid w:val="00C26A41"/>
    <w:rsid w:val="00C80F52"/>
    <w:rsid w:val="00C815F6"/>
    <w:rsid w:val="00C8507D"/>
    <w:rsid w:val="00C85641"/>
    <w:rsid w:val="00C85F6E"/>
    <w:rsid w:val="00C90761"/>
    <w:rsid w:val="00C91614"/>
    <w:rsid w:val="00CA41C9"/>
    <w:rsid w:val="00CA4B24"/>
    <w:rsid w:val="00CA796F"/>
    <w:rsid w:val="00CD0E10"/>
    <w:rsid w:val="00CD5141"/>
    <w:rsid w:val="00CE283F"/>
    <w:rsid w:val="00CE352F"/>
    <w:rsid w:val="00CE52CD"/>
    <w:rsid w:val="00CE53B8"/>
    <w:rsid w:val="00CF11F5"/>
    <w:rsid w:val="00CF3439"/>
    <w:rsid w:val="00D00A19"/>
    <w:rsid w:val="00D1699B"/>
    <w:rsid w:val="00D23613"/>
    <w:rsid w:val="00D367F6"/>
    <w:rsid w:val="00D36B65"/>
    <w:rsid w:val="00D566E3"/>
    <w:rsid w:val="00D71E45"/>
    <w:rsid w:val="00D835C5"/>
    <w:rsid w:val="00D84551"/>
    <w:rsid w:val="00DA4043"/>
    <w:rsid w:val="00DA40B5"/>
    <w:rsid w:val="00DB50F4"/>
    <w:rsid w:val="00DC021E"/>
    <w:rsid w:val="00DC11EA"/>
    <w:rsid w:val="00DC3841"/>
    <w:rsid w:val="00DD180F"/>
    <w:rsid w:val="00DD3987"/>
    <w:rsid w:val="00DD6E09"/>
    <w:rsid w:val="00DE3D46"/>
    <w:rsid w:val="00DE56AE"/>
    <w:rsid w:val="00DE62C1"/>
    <w:rsid w:val="00DF2E7E"/>
    <w:rsid w:val="00E00618"/>
    <w:rsid w:val="00E02F30"/>
    <w:rsid w:val="00E22EAE"/>
    <w:rsid w:val="00E35E5C"/>
    <w:rsid w:val="00E43F7E"/>
    <w:rsid w:val="00E57251"/>
    <w:rsid w:val="00E703FF"/>
    <w:rsid w:val="00E73FEF"/>
    <w:rsid w:val="00E755FF"/>
    <w:rsid w:val="00E75CFA"/>
    <w:rsid w:val="00E837A8"/>
    <w:rsid w:val="00E90064"/>
    <w:rsid w:val="00E90FFA"/>
    <w:rsid w:val="00E9312A"/>
    <w:rsid w:val="00EC13DD"/>
    <w:rsid w:val="00EC631C"/>
    <w:rsid w:val="00EF2A9F"/>
    <w:rsid w:val="00F003CC"/>
    <w:rsid w:val="00F01D50"/>
    <w:rsid w:val="00F054D4"/>
    <w:rsid w:val="00F14A49"/>
    <w:rsid w:val="00F14A61"/>
    <w:rsid w:val="00F14CA9"/>
    <w:rsid w:val="00F16D7D"/>
    <w:rsid w:val="00F17973"/>
    <w:rsid w:val="00F225BF"/>
    <w:rsid w:val="00F328C8"/>
    <w:rsid w:val="00F42125"/>
    <w:rsid w:val="00F42542"/>
    <w:rsid w:val="00F50BDE"/>
    <w:rsid w:val="00F539F9"/>
    <w:rsid w:val="00F756C1"/>
    <w:rsid w:val="00F86568"/>
    <w:rsid w:val="00F94EA2"/>
    <w:rsid w:val="00F950DF"/>
    <w:rsid w:val="00FB0EF8"/>
    <w:rsid w:val="00FB4FAD"/>
    <w:rsid w:val="00FD3427"/>
    <w:rsid w:val="00FD7968"/>
    <w:rsid w:val="00FE19A4"/>
    <w:rsid w:val="00FE4EF7"/>
    <w:rsid w:val="00FF282E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paragraph" w:customStyle="1" w:styleId="pf0">
    <w:name w:val="pf0"/>
    <w:basedOn w:val="Normln"/>
    <w:rsid w:val="0022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258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Props1.xml><?xml version="1.0" encoding="utf-8"?>
<ds:datastoreItem xmlns:ds="http://schemas.openxmlformats.org/officeDocument/2006/customXml" ds:itemID="{526FF5EB-B535-429F-8E7B-8AF83EB39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0C594-C32C-47C8-ACB3-B9E4BB1A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schemas.microsoft.com/office/infopath/2007/PartnerControls"/>
    <ds:schemaRef ds:uri="cc4544e6-f40b-4892-9032-18ec06c8f6b6"/>
    <ds:schemaRef ds:uri="cb2cfda7-176e-42d6-ae52-3cedbc69f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Marie Kubešová</cp:lastModifiedBy>
  <cp:revision>2</cp:revision>
  <cp:lastPrinted>2021-10-22T09:50:00Z</cp:lastPrinted>
  <dcterms:created xsi:type="dcterms:W3CDTF">2025-10-07T12:03:00Z</dcterms:created>
  <dcterms:modified xsi:type="dcterms:W3CDTF">2025-10-07T12:03:00Z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</Properties>
</file>