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291CF4">
        <w:rPr>
          <w:sz w:val="22"/>
          <w:szCs w:val="22"/>
        </w:rPr>
        <w:t xml:space="preserve">17. listopadu </w:t>
      </w:r>
      <w:r w:rsidR="00467B61">
        <w:rPr>
          <w:sz w:val="22"/>
          <w:szCs w:val="22"/>
        </w:rPr>
        <w:t>2172</w:t>
      </w:r>
      <w:r w:rsidR="00291CF4">
        <w:rPr>
          <w:sz w:val="22"/>
          <w:szCs w:val="22"/>
        </w:rPr>
        <w:t>/15</w:t>
      </w:r>
      <w:r w:rsidR="00467B61">
        <w:rPr>
          <w:sz w:val="22"/>
          <w:szCs w:val="22"/>
        </w:rPr>
        <w:t>, 708 00</w:t>
      </w:r>
      <w:r w:rsidR="00C67A28" w:rsidRPr="00CA4670">
        <w:rPr>
          <w:sz w:val="22"/>
          <w:szCs w:val="22"/>
        </w:rPr>
        <w:t xml:space="preserve"> Ostrava-Poruba</w:t>
      </w:r>
    </w:p>
    <w:p w:rsidR="002C6894" w:rsidRPr="00DE027A" w:rsidRDefault="002C6894" w:rsidP="00DE027A">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FE4D40">
        <w:rPr>
          <w:spacing w:val="-2"/>
        </w:rPr>
        <w:t>Ing. Petrem Měrkou</w:t>
      </w:r>
      <w:r w:rsidR="00FE4D40">
        <w:rPr>
          <w:sz w:val="22"/>
          <w:szCs w:val="22"/>
        </w:rPr>
        <w:t xml:space="preserve"> – v</w:t>
      </w:r>
      <w:r w:rsidR="00FE4D40">
        <w:rPr>
          <w:spacing w:val="-2"/>
        </w:rPr>
        <w:t>edoucím útvaru Správy a provoz</w:t>
      </w:r>
      <w:bookmarkStart w:id="0" w:name="_GoBack"/>
      <w:bookmarkEnd w:id="0"/>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8C103A" w:rsidRDefault="002C6894" w:rsidP="008C103A">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4F2289">
        <w:rPr>
          <w:bCs/>
          <w:iCs/>
          <w:sz w:val="22"/>
          <w:szCs w:val="22"/>
        </w:rPr>
        <w:t>Rena</w:t>
      </w:r>
      <w:r w:rsidR="008C103A">
        <w:rPr>
          <w:bCs/>
          <w:iCs/>
          <w:sz w:val="22"/>
          <w:szCs w:val="22"/>
        </w:rPr>
        <w:t>ta Hendrychová</w:t>
      </w:r>
      <w:r w:rsidR="008C103A" w:rsidRPr="00AA3E99">
        <w:rPr>
          <w:bCs/>
          <w:iCs/>
          <w:sz w:val="22"/>
          <w:szCs w:val="22"/>
        </w:rPr>
        <w:t xml:space="preserve">, e-mail: </w:t>
      </w:r>
      <w:hyperlink r:id="rId8" w:history="1">
        <w:r w:rsidR="008C103A" w:rsidRPr="00634044">
          <w:rPr>
            <w:rStyle w:val="Hypertextovodkaz"/>
            <w:bCs/>
            <w:iCs/>
            <w:sz w:val="22"/>
            <w:szCs w:val="22"/>
          </w:rPr>
          <w:t>renata.hendrychova@vsb.cz</w:t>
        </w:r>
      </w:hyperlink>
      <w:r w:rsidR="008C103A" w:rsidRPr="00AA3E99">
        <w:rPr>
          <w:bCs/>
          <w:iCs/>
          <w:sz w:val="22"/>
          <w:szCs w:val="22"/>
        </w:rPr>
        <w:t xml:space="preserve"> </w:t>
      </w:r>
    </w:p>
    <w:p w:rsidR="002C6894" w:rsidRPr="00DE027A" w:rsidRDefault="008C103A" w:rsidP="00764934">
      <w:pPr>
        <w:spacing w:after="60"/>
        <w:ind w:left="2127"/>
        <w:rPr>
          <w:bCs/>
          <w:i/>
          <w:iCs/>
          <w:sz w:val="22"/>
          <w:szCs w:val="22"/>
        </w:rPr>
      </w:pPr>
      <w:r>
        <w:rPr>
          <w:bCs/>
          <w:iCs/>
          <w:sz w:val="22"/>
          <w:szCs w:val="22"/>
        </w:rPr>
        <w:t>tel. +420 597 326 111</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dodávka čisticích</w:t>
      </w:r>
      <w:r w:rsidR="00AF58F5">
        <w:rPr>
          <w:sz w:val="22"/>
          <w:szCs w:val="22"/>
        </w:rPr>
        <w:t xml:space="preserve"> a úklidových prostředků</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000C8D" w:rsidRPr="00000C8D" w:rsidRDefault="00000C8D" w:rsidP="00C0599B">
      <w:pPr>
        <w:numPr>
          <w:ilvl w:val="0"/>
          <w:numId w:val="34"/>
        </w:numPr>
        <w:spacing w:before="120"/>
        <w:jc w:val="both"/>
        <w:rPr>
          <w:sz w:val="22"/>
          <w:szCs w:val="22"/>
        </w:rPr>
      </w:pPr>
      <w:r w:rsidRPr="00000C8D">
        <w:rPr>
          <w:sz w:val="22"/>
          <w:szCs w:val="22"/>
        </w:rPr>
        <w:lastRenderedPageBreak/>
        <w:t xml:space="preserve">Podkladem pro uzavření této kupní smlouvy je nabídka prodávajícího do soutěže o veřejnou zakázku, vyhlášené kupujícím jako zadavatelem veřejné zakázky. </w:t>
      </w: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000C8D" w:rsidRDefault="00CE0BF2" w:rsidP="00000C8D">
      <w:pPr>
        <w:numPr>
          <w:ilvl w:val="0"/>
          <w:numId w:val="33"/>
        </w:numPr>
        <w:spacing w:before="120"/>
        <w:ind w:left="357" w:hanging="357"/>
        <w:jc w:val="both"/>
        <w:rPr>
          <w:sz w:val="22"/>
          <w:szCs w:val="22"/>
        </w:rPr>
      </w:pPr>
      <w:r w:rsidRPr="00A77194">
        <w:rPr>
          <w:sz w:val="22"/>
          <w:szCs w:val="22"/>
        </w:rPr>
        <w:t xml:space="preserve">Prodávající se zavazuje dodat zboží podle přílohy č. 1 - </w:t>
      </w:r>
      <w:r w:rsidRPr="006A7B51">
        <w:rPr>
          <w:sz w:val="22"/>
          <w:szCs w:val="22"/>
          <w:u w:val="single"/>
        </w:rPr>
        <w:t xml:space="preserve">část jedna, </w:t>
      </w:r>
      <w:r w:rsidRPr="006A7B51">
        <w:rPr>
          <w:u w:val="single"/>
        </w:rPr>
        <w:t>část dvě</w:t>
      </w:r>
      <w:r w:rsidR="004A4815">
        <w:rPr>
          <w:u w:val="single"/>
        </w:rPr>
        <w:t>, část tři, část čtyři</w:t>
      </w:r>
      <w:r w:rsidRPr="00A77194">
        <w:rPr>
          <w:sz w:val="22"/>
          <w:szCs w:val="22"/>
        </w:rPr>
        <w:t xml:space="preserve"> ve lhůtě do</w:t>
      </w:r>
      <w:r>
        <w:rPr>
          <w:sz w:val="22"/>
          <w:szCs w:val="22"/>
        </w:rPr>
        <w:t xml:space="preserve"> 21</w:t>
      </w:r>
      <w:r w:rsidRPr="00A77194">
        <w:rPr>
          <w:b/>
          <w:spacing w:val="-2"/>
          <w:sz w:val="22"/>
          <w:szCs w:val="22"/>
        </w:rPr>
        <w:t xml:space="preserve"> </w:t>
      </w:r>
      <w:r w:rsidRPr="00A77194">
        <w:rPr>
          <w:spacing w:val="-2"/>
          <w:sz w:val="22"/>
          <w:szCs w:val="22"/>
        </w:rPr>
        <w:t>dnů od účinnosti smlouvy</w:t>
      </w:r>
      <w:r w:rsidRPr="00A77194">
        <w:rPr>
          <w:sz w:val="22"/>
          <w:szCs w:val="22"/>
        </w:rPr>
        <w:t>.</w:t>
      </w:r>
    </w:p>
    <w:p w:rsidR="00CE0BF2" w:rsidRDefault="00CE0BF2" w:rsidP="00000C8D">
      <w:pPr>
        <w:numPr>
          <w:ilvl w:val="0"/>
          <w:numId w:val="33"/>
        </w:numPr>
        <w:spacing w:before="120"/>
        <w:ind w:left="357" w:hanging="357"/>
        <w:jc w:val="both"/>
        <w:rPr>
          <w:sz w:val="22"/>
          <w:szCs w:val="22"/>
        </w:rPr>
      </w:pPr>
      <w:r w:rsidRPr="00A77194">
        <w:rPr>
          <w:sz w:val="22"/>
          <w:szCs w:val="22"/>
        </w:rPr>
        <w:t xml:space="preserve">Prodávající se zavazuje dodat zboží podle přílohy č. 1 - </w:t>
      </w:r>
      <w:r w:rsidR="004A4815">
        <w:rPr>
          <w:u w:val="single"/>
        </w:rPr>
        <w:t>část</w:t>
      </w:r>
      <w:r>
        <w:rPr>
          <w:u w:val="single"/>
        </w:rPr>
        <w:t xml:space="preserve"> pět, šest</w:t>
      </w:r>
      <w:r>
        <w:t xml:space="preserve"> </w:t>
      </w:r>
      <w:r>
        <w:rPr>
          <w:sz w:val="22"/>
          <w:szCs w:val="22"/>
        </w:rPr>
        <w:t>v době od 22</w:t>
      </w:r>
      <w:r w:rsidRPr="00A77194">
        <w:rPr>
          <w:sz w:val="22"/>
          <w:szCs w:val="22"/>
        </w:rPr>
        <w:t xml:space="preserve">. </w:t>
      </w:r>
      <w:r>
        <w:rPr>
          <w:sz w:val="22"/>
          <w:szCs w:val="22"/>
        </w:rPr>
        <w:t>7. 2019 do 26. 7</w:t>
      </w:r>
      <w:r w:rsidRPr="00A77194">
        <w:rPr>
          <w:sz w:val="22"/>
          <w:szCs w:val="22"/>
        </w:rPr>
        <w:t>. 2019</w:t>
      </w:r>
      <w:r w:rsidR="004A4815">
        <w:rPr>
          <w:spacing w:val="-2"/>
          <w:sz w:val="22"/>
          <w:szCs w:val="22"/>
        </w:rPr>
        <w:t>.</w:t>
      </w:r>
    </w:p>
    <w:p w:rsidR="00A41042" w:rsidRPr="00C12C51" w:rsidRDefault="00627A78" w:rsidP="00000C8D">
      <w:pPr>
        <w:numPr>
          <w:ilvl w:val="0"/>
          <w:numId w:val="33"/>
        </w:numPr>
        <w:spacing w:before="120"/>
        <w:ind w:left="357" w:hanging="357"/>
        <w:jc w:val="both"/>
        <w:rPr>
          <w:sz w:val="22"/>
          <w:szCs w:val="22"/>
        </w:rPr>
      </w:pPr>
      <w:r>
        <w:rPr>
          <w:sz w:val="22"/>
          <w:szCs w:val="22"/>
        </w:rPr>
        <w:t>Smluvní strany se dohodly na tom, že zboží může být prodávajícím dodáno i po částech, avšak ve lhůtě dle ustanovení předchozí věty.</w:t>
      </w:r>
    </w:p>
    <w:p w:rsidR="00B24AD1" w:rsidRPr="00B24AD1" w:rsidRDefault="00B24AD1" w:rsidP="00B24AD1">
      <w:pPr>
        <w:numPr>
          <w:ilvl w:val="0"/>
          <w:numId w:val="33"/>
        </w:numPr>
        <w:spacing w:before="120"/>
        <w:jc w:val="both"/>
        <w:rPr>
          <w:sz w:val="22"/>
          <w:szCs w:val="22"/>
        </w:rPr>
      </w:pPr>
      <w:r>
        <w:rPr>
          <w:sz w:val="22"/>
          <w:szCs w:val="22"/>
        </w:rPr>
        <w:t>Místem plnění jsou sídla</w:t>
      </w:r>
      <w:r w:rsidRPr="00000C8D">
        <w:rPr>
          <w:sz w:val="22"/>
          <w:szCs w:val="22"/>
        </w:rPr>
        <w:t xml:space="preserve"> </w:t>
      </w:r>
      <w:r>
        <w:rPr>
          <w:sz w:val="22"/>
          <w:szCs w:val="22"/>
        </w:rPr>
        <w:t>kupujícího</w:t>
      </w:r>
      <w:r w:rsidRPr="00000C8D">
        <w:rPr>
          <w:sz w:val="22"/>
          <w:szCs w:val="22"/>
        </w:rPr>
        <w:t xml:space="preserve">, </w:t>
      </w:r>
      <w:r>
        <w:rPr>
          <w:sz w:val="22"/>
          <w:szCs w:val="22"/>
        </w:rPr>
        <w:t xml:space="preserve">na adresách: </w:t>
      </w:r>
    </w:p>
    <w:p w:rsidR="004424C2" w:rsidRDefault="004424C2" w:rsidP="004424C2">
      <w:pPr>
        <w:pStyle w:val="Odstavecseseznamem"/>
        <w:numPr>
          <w:ilvl w:val="0"/>
          <w:numId w:val="47"/>
        </w:numPr>
        <w:jc w:val="both"/>
        <w:rPr>
          <w:sz w:val="22"/>
          <w:szCs w:val="22"/>
        </w:rPr>
      </w:pPr>
      <w:r w:rsidRPr="00FE4D40">
        <w:rPr>
          <w:sz w:val="22"/>
          <w:szCs w:val="22"/>
        </w:rPr>
        <w:t>budova Kolejí VŠB-TUO- sklad čisticích prostředků, Studen</w:t>
      </w:r>
      <w:r w:rsidR="00467B61" w:rsidRPr="00FE4D40">
        <w:rPr>
          <w:sz w:val="22"/>
          <w:szCs w:val="22"/>
        </w:rPr>
        <w:t>tská 1, 708 00</w:t>
      </w:r>
      <w:r w:rsidRPr="00FE4D40">
        <w:rPr>
          <w:sz w:val="22"/>
          <w:szCs w:val="22"/>
        </w:rPr>
        <w:t xml:space="preserve"> Ostrava</w:t>
      </w:r>
    </w:p>
    <w:p w:rsidR="004A4815" w:rsidRPr="00FE4D40" w:rsidRDefault="004A4815" w:rsidP="004A4815">
      <w:pPr>
        <w:pStyle w:val="Odstavecseseznamem"/>
        <w:numPr>
          <w:ilvl w:val="0"/>
          <w:numId w:val="47"/>
        </w:numPr>
        <w:jc w:val="both"/>
        <w:rPr>
          <w:sz w:val="22"/>
          <w:szCs w:val="22"/>
        </w:rPr>
      </w:pPr>
      <w:r w:rsidRPr="004A4815">
        <w:rPr>
          <w:sz w:val="22"/>
          <w:szCs w:val="22"/>
        </w:rPr>
        <w:t xml:space="preserve">Menza </w:t>
      </w:r>
      <w:r>
        <w:rPr>
          <w:sz w:val="22"/>
          <w:szCs w:val="22"/>
        </w:rPr>
        <w:t>5, 17. listopadu  2172/15, 708 00</w:t>
      </w:r>
      <w:r w:rsidRPr="004A4815">
        <w:rPr>
          <w:sz w:val="22"/>
          <w:szCs w:val="22"/>
        </w:rPr>
        <w:t xml:space="preserve"> Ostrava</w:t>
      </w:r>
    </w:p>
    <w:p w:rsidR="00467B61" w:rsidRPr="00FE4D40" w:rsidRDefault="004A4815" w:rsidP="004A4815">
      <w:pPr>
        <w:pStyle w:val="Odstavecseseznamem"/>
        <w:numPr>
          <w:ilvl w:val="0"/>
          <w:numId w:val="47"/>
        </w:numPr>
        <w:jc w:val="both"/>
        <w:rPr>
          <w:sz w:val="22"/>
          <w:szCs w:val="22"/>
        </w:rPr>
      </w:pPr>
      <w:r w:rsidRPr="004A4815">
        <w:rPr>
          <w:sz w:val="22"/>
          <w:szCs w:val="22"/>
        </w:rPr>
        <w:t>Bufetu č.</w:t>
      </w:r>
      <w:r>
        <w:rPr>
          <w:sz w:val="22"/>
          <w:szCs w:val="22"/>
        </w:rPr>
        <w:t xml:space="preserve"> </w:t>
      </w:r>
      <w:r w:rsidRPr="004A4815">
        <w:rPr>
          <w:sz w:val="22"/>
          <w:szCs w:val="22"/>
        </w:rPr>
        <w:t xml:space="preserve">8 - AULA - VŠB-TUO, 17. listopadu </w:t>
      </w:r>
      <w:r>
        <w:rPr>
          <w:sz w:val="22"/>
          <w:szCs w:val="22"/>
        </w:rPr>
        <w:t>2172/15</w:t>
      </w:r>
      <w:r w:rsidRPr="004A4815">
        <w:rPr>
          <w:sz w:val="22"/>
          <w:szCs w:val="22"/>
        </w:rPr>
        <w:t>, 708 33 Ostrava</w:t>
      </w:r>
      <w:r w:rsidR="00FC5C64">
        <w:rPr>
          <w:sz w:val="22"/>
          <w:szCs w:val="22"/>
        </w:rPr>
        <w:t>.</w:t>
      </w:r>
    </w:p>
    <w:p w:rsidR="004424C2" w:rsidRPr="00FC5C64" w:rsidRDefault="004424C2" w:rsidP="00FC5C64">
      <w:pPr>
        <w:widowControl w:val="0"/>
        <w:ind w:left="360"/>
        <w:rPr>
          <w:sz w:val="22"/>
          <w:szCs w:val="22"/>
        </w:rPr>
      </w:pPr>
    </w:p>
    <w:p w:rsidR="00F3569B" w:rsidRPr="00000C8D" w:rsidRDefault="00F3569B" w:rsidP="00F3569B">
      <w:pPr>
        <w:numPr>
          <w:ilvl w:val="0"/>
          <w:numId w:val="33"/>
        </w:numPr>
        <w:spacing w:before="120"/>
        <w:jc w:val="both"/>
        <w:rPr>
          <w:sz w:val="22"/>
          <w:szCs w:val="22"/>
        </w:rPr>
      </w:pPr>
      <w:r w:rsidRPr="00000C8D">
        <w:rPr>
          <w:sz w:val="22"/>
          <w:szCs w:val="22"/>
        </w:rPr>
        <w:t xml:space="preserve">Konkrétní </w:t>
      </w:r>
      <w:r>
        <w:rPr>
          <w:sz w:val="22"/>
          <w:szCs w:val="22"/>
        </w:rPr>
        <w:t>čas</w:t>
      </w:r>
      <w:r w:rsidRPr="00000C8D">
        <w:rPr>
          <w:sz w:val="22"/>
          <w:szCs w:val="22"/>
        </w:rPr>
        <w:t xml:space="preserve"> dodání zboží bude předem dohodnut mezi prodávajícím a oprávněným zástupcem kupujícího dohodnutými komunikačními prostředky (e-mail, telefon).</w:t>
      </w:r>
    </w:p>
    <w:p w:rsidR="00F3569B" w:rsidRPr="00000C8D" w:rsidRDefault="00F3569B" w:rsidP="00F3569B">
      <w:pPr>
        <w:numPr>
          <w:ilvl w:val="0"/>
          <w:numId w:val="33"/>
        </w:numPr>
        <w:spacing w:before="120"/>
        <w:ind w:left="357" w:hanging="357"/>
        <w:jc w:val="both"/>
        <w:rPr>
          <w:sz w:val="22"/>
          <w:szCs w:val="22"/>
        </w:rPr>
      </w:pPr>
      <w:r w:rsidRPr="00764934">
        <w:rPr>
          <w:sz w:val="22"/>
          <w:szCs w:val="22"/>
          <w:u w:val="single"/>
        </w:rPr>
        <w:t>Zboží bude dodáno kupujícímu spolu s předávacím protokolem a fakturou</w:t>
      </w:r>
      <w:r>
        <w:rPr>
          <w:sz w:val="22"/>
          <w:szCs w:val="22"/>
        </w:rPr>
        <w:t>, v opačném případě je kupující oprávněn postupovat v souladu s ustanovením článku II., odst 3. této smlouvy a zboží nepřevzít.</w:t>
      </w:r>
      <w:r w:rsidRPr="00000C8D">
        <w:rPr>
          <w:sz w:val="22"/>
          <w:szCs w:val="22"/>
        </w:rPr>
        <w:t xml:space="preserve"> </w:t>
      </w:r>
      <w:r>
        <w:rPr>
          <w:sz w:val="22"/>
          <w:szCs w:val="22"/>
        </w:rPr>
        <w:t>Z</w:t>
      </w:r>
      <w:r w:rsidRPr="00000C8D">
        <w:rPr>
          <w:sz w:val="22"/>
          <w:szCs w:val="22"/>
        </w:rPr>
        <w:t xml:space="preserve">boží je prodávající oprávněn fakturovat </w:t>
      </w:r>
      <w:r>
        <w:rPr>
          <w:sz w:val="22"/>
          <w:szCs w:val="22"/>
        </w:rPr>
        <w:t xml:space="preserve">pouze </w:t>
      </w:r>
      <w:r w:rsidRPr="00000C8D">
        <w:rPr>
          <w:sz w:val="22"/>
          <w:szCs w:val="22"/>
        </w:rPr>
        <w:t xml:space="preserve">v souladu s příslušným předávacím protokolem. </w:t>
      </w:r>
    </w:p>
    <w:p w:rsidR="00F3569B" w:rsidRPr="00000C8D" w:rsidRDefault="00F3569B" w:rsidP="00F3569B">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DPH: </w:t>
      </w:r>
      <w:r w:rsidR="00867D3A">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21%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DPH: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lastRenderedPageBreak/>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D0270A"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t>Cena bude zaplacena na základě faktur vystaven</w:t>
      </w:r>
      <w:r>
        <w:rPr>
          <w:sz w:val="22"/>
          <w:szCs w:val="22"/>
        </w:rPr>
        <w:t>ých</w:t>
      </w:r>
      <w:r w:rsidRPr="00000C8D">
        <w:rPr>
          <w:sz w:val="22"/>
          <w:szCs w:val="22"/>
        </w:rPr>
        <w:t xml:space="preserve"> prodávajícím. </w:t>
      </w:r>
      <w:r>
        <w:rPr>
          <w:sz w:val="22"/>
          <w:szCs w:val="22"/>
        </w:rPr>
        <w:t xml:space="preserve">Prodávající vystaví fakturu zvlášť za každou část zboží dle Specifikace veřejné zakázky, tedy pro každý z jednotlivých předmětů specifikace. </w:t>
      </w:r>
      <w:r w:rsidRPr="00000C8D">
        <w:rPr>
          <w:sz w:val="22"/>
          <w:szCs w:val="22"/>
        </w:rPr>
        <w:t>Faktura vystavená prodávajícím musí obsahovat náležitosti stanovené právními předpisy s tím, že zvlášť budou ve faktuře vyčísleny ceny zboží bez DPH, zvlášť  DPH a celková cena zboží s DPH.</w:t>
      </w:r>
      <w:r w:rsidR="00000C8D" w:rsidRPr="00000C8D">
        <w:rPr>
          <w:sz w:val="22"/>
          <w:szCs w:val="22"/>
        </w:rPr>
        <w:t xml:space="preserve">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133F4A"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ust.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ust.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133F4A" w:rsidRDefault="00133F4A" w:rsidP="00133F4A">
      <w:pPr>
        <w:pStyle w:val="Odstavecseseznamem"/>
        <w:ind w:left="360"/>
        <w:jc w:val="both"/>
      </w:pPr>
    </w:p>
    <w:p w:rsidR="00133F4A" w:rsidRDefault="00133F4A" w:rsidP="00133F4A">
      <w:pPr>
        <w:numPr>
          <w:ilvl w:val="0"/>
          <w:numId w:val="32"/>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rsidR="00643D3D" w:rsidRDefault="00643D3D" w:rsidP="00000C8D">
      <w:pPr>
        <w:pStyle w:val="Zhlav"/>
        <w:ind w:left="360"/>
        <w:jc w:val="center"/>
        <w:rPr>
          <w:sz w:val="22"/>
          <w:szCs w:val="22"/>
          <w:lang w:val="cs-CZ"/>
        </w:rPr>
      </w:pP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Default="00000C8D" w:rsidP="00534507">
      <w:pPr>
        <w:pStyle w:val="Nadpis1"/>
        <w:spacing w:before="0" w:after="0"/>
        <w:ind w:right="-284"/>
        <w:jc w:val="both"/>
        <w:rPr>
          <w:rFonts w:ascii="Times New Roman" w:hAnsi="Times New Roman"/>
          <w:b w:val="0"/>
          <w:sz w:val="22"/>
          <w:szCs w:val="22"/>
        </w:rPr>
      </w:pPr>
    </w:p>
    <w:p w:rsidR="00861AB4" w:rsidRDefault="00861AB4" w:rsidP="00861AB4"/>
    <w:p w:rsidR="00501440" w:rsidRDefault="00501440" w:rsidP="00861AB4"/>
    <w:p w:rsidR="00501440" w:rsidRDefault="00501440" w:rsidP="00861AB4"/>
    <w:p w:rsidR="00861AB4" w:rsidRPr="00861AB4" w:rsidRDefault="00861AB4" w:rsidP="00861AB4"/>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AB6F2C" w:rsidP="00FF77B5">
      <w:pPr>
        <w:pStyle w:val="Nadpis1"/>
        <w:spacing w:before="0" w:after="0"/>
        <w:ind w:right="-284"/>
        <w:jc w:val="center"/>
        <w:rPr>
          <w:rFonts w:ascii="Times New Roman" w:hAnsi="Times New Roman"/>
          <w:sz w:val="22"/>
          <w:szCs w:val="22"/>
        </w:rPr>
      </w:pPr>
      <w:r>
        <w:rPr>
          <w:rFonts w:ascii="Times New Roman" w:hAnsi="Times New Roman"/>
          <w:sz w:val="22"/>
          <w:szCs w:val="22"/>
        </w:rPr>
        <w:t xml:space="preserve">  </w:t>
      </w:r>
      <w:r w:rsidR="00000C8D"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t>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Pr="00AC561A">
        <w:rPr>
          <w:sz w:val="22"/>
          <w:szCs w:val="22"/>
        </w:rPr>
        <w:t xml:space="preserve"> předmětu plnění do roku 202</w:t>
      </w:r>
      <w:r w:rsidR="00347180">
        <w:rPr>
          <w:sz w:val="22"/>
          <w:szCs w:val="22"/>
        </w:rPr>
        <w:t>9</w:t>
      </w:r>
      <w:r w:rsidRPr="00AC561A">
        <w:rPr>
          <w:sz w:val="22"/>
          <w:szCs w:val="22"/>
        </w:rPr>
        <w:t xml:space="preserve">, pokud český právní řád nestanovuje lhůtu delší. Tyto dokumenty a účetní záznamy budou uchovávány způsobem stanoveným platnými právními předpisy. </w:t>
      </w:r>
    </w:p>
    <w:p w:rsidR="00AC561A" w:rsidRDefault="00AC561A" w:rsidP="00534507">
      <w:pPr>
        <w:shd w:val="clear" w:color="auto" w:fill="FFFFFF"/>
        <w:suppressAutoHyphens/>
        <w:spacing w:before="120"/>
        <w:ind w:left="426" w:hanging="426"/>
        <w:jc w:val="both"/>
        <w:rPr>
          <w:sz w:val="22"/>
          <w:szCs w:val="22"/>
        </w:rPr>
      </w:pPr>
    </w:p>
    <w:p w:rsidR="000A5E74" w:rsidRPr="00000C8D" w:rsidRDefault="000A5E74"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9C74DA" w:rsidRDefault="009C74DA" w:rsidP="00534507">
      <w:pPr>
        <w:numPr>
          <w:ilvl w:val="0"/>
          <w:numId w:val="39"/>
        </w:numPr>
        <w:shd w:val="clear" w:color="auto" w:fill="FFFFFF"/>
        <w:suppressAutoHyphens/>
        <w:spacing w:after="120"/>
        <w:jc w:val="both"/>
        <w:rPr>
          <w:sz w:val="22"/>
          <w:szCs w:val="22"/>
        </w:rPr>
      </w:pPr>
      <w:r>
        <w:rPr>
          <w:sz w:val="22"/>
          <w:szCs w:val="22"/>
        </w:rPr>
        <w:t>Tato smlouva nabývá platnosti dnem podpisu oběma smluvními stranami. Účinnosti nabývá smlouva registrací v registru smluv dle následujícího ustanovení smlouvy.</w:t>
      </w:r>
    </w:p>
    <w:p w:rsidR="00B72A11" w:rsidRDefault="00B72A11" w:rsidP="00534507">
      <w:pPr>
        <w:numPr>
          <w:ilvl w:val="0"/>
          <w:numId w:val="39"/>
        </w:numPr>
        <w:shd w:val="clear" w:color="auto" w:fill="FFFFFF"/>
        <w:suppressAutoHyphens/>
        <w:spacing w:after="120"/>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r w:rsidRPr="00000C8D">
        <w:rPr>
          <w:sz w:val="22"/>
          <w:szCs w:val="22"/>
        </w:rPr>
        <w:t xml:space="preserve">jeden  prodávající. </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r w:rsidR="00502E11">
        <w:rPr>
          <w:sz w:val="22"/>
          <w:szCs w:val="22"/>
        </w:rPr>
        <w:t>1</w:t>
      </w:r>
      <w:r>
        <w:rPr>
          <w:sz w:val="22"/>
          <w:szCs w:val="22"/>
        </w:rPr>
        <w:t xml:space="preserve">  -  </w:t>
      </w:r>
      <w:r w:rsidR="00B01277">
        <w:rPr>
          <w:sz w:val="22"/>
          <w:szCs w:val="22"/>
        </w:rPr>
        <w:t xml:space="preserve"> specifikace předmětu </w:t>
      </w:r>
      <w:r w:rsidR="00DD568C">
        <w:rPr>
          <w:sz w:val="22"/>
          <w:szCs w:val="22"/>
        </w:rPr>
        <w:t>zakázky</w:t>
      </w:r>
      <w:r w:rsidR="00B4340C">
        <w:rPr>
          <w:sz w:val="22"/>
          <w:szCs w:val="22"/>
        </w:rPr>
        <w:t xml:space="preserve"> – technický popis</w:t>
      </w:r>
      <w:r w:rsidR="00E37F0C">
        <w:rPr>
          <w:sz w:val="22"/>
          <w:szCs w:val="22"/>
        </w:rPr>
        <w:t xml:space="preserve"> </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000C8D" w:rsidRDefault="00000C8D" w:rsidP="00000C8D">
      <w:pPr>
        <w:rPr>
          <w:b/>
          <w:sz w:val="22"/>
          <w:szCs w:val="22"/>
        </w:rPr>
      </w:pPr>
      <w:r w:rsidRPr="00000C8D">
        <w:rPr>
          <w:b/>
          <w:sz w:val="22"/>
          <w:szCs w:val="22"/>
        </w:rPr>
        <w:t xml:space="preserve"> </w:t>
      </w:r>
    </w:p>
    <w:p w:rsidR="00000C8D" w:rsidRPr="00000C8D" w:rsidRDefault="00000C8D" w:rsidP="00000C8D">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FE4D40" w:rsidRPr="00000C8D" w:rsidRDefault="00FE4D40" w:rsidP="00FE4D40">
      <w:pPr>
        <w:tabs>
          <w:tab w:val="left" w:pos="5013"/>
        </w:tabs>
        <w:rPr>
          <w:sz w:val="22"/>
          <w:szCs w:val="22"/>
        </w:rPr>
      </w:pPr>
      <w:r>
        <w:rPr>
          <w:sz w:val="22"/>
          <w:szCs w:val="22"/>
        </w:rPr>
        <w:t>Ing. Petr Měrka</w:t>
      </w:r>
      <w:r w:rsidRPr="00000C8D">
        <w:rPr>
          <w:sz w:val="22"/>
          <w:szCs w:val="22"/>
        </w:rPr>
        <w:tab/>
        <w:t>Jméno:</w:t>
      </w:r>
    </w:p>
    <w:p w:rsidR="00000C8D" w:rsidRDefault="00FE4D40" w:rsidP="00FE4D40">
      <w:pPr>
        <w:tabs>
          <w:tab w:val="left" w:pos="5013"/>
          <w:tab w:val="right" w:pos="9072"/>
        </w:tabs>
        <w:rPr>
          <w:sz w:val="22"/>
          <w:szCs w:val="22"/>
        </w:rPr>
      </w:pPr>
      <w:r>
        <w:rPr>
          <w:sz w:val="22"/>
          <w:szCs w:val="22"/>
        </w:rPr>
        <w:t>vedoucí útvaru Správy a provoz</w:t>
      </w:r>
      <w:r w:rsidR="00000C8D" w:rsidRPr="00000C8D">
        <w:rPr>
          <w:sz w:val="22"/>
          <w:szCs w:val="22"/>
        </w:rPr>
        <w:tab/>
        <w:t>Funkce:</w:t>
      </w:r>
      <w:r w:rsidR="00C13735">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6A0" w:rsidRDefault="006D06A0" w:rsidP="00335E35">
      <w:r>
        <w:separator/>
      </w:r>
    </w:p>
  </w:endnote>
  <w:endnote w:type="continuationSeparator" w:id="0">
    <w:p w:rsidR="006D06A0" w:rsidRDefault="006D06A0"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08" w:rsidRDefault="00D34308">
    <w:pPr>
      <w:pStyle w:val="Zpat"/>
      <w:jc w:val="center"/>
    </w:pPr>
    <w:r>
      <w:fldChar w:fldCharType="begin"/>
    </w:r>
    <w:r>
      <w:instrText>PAGE   \* MERGEFORMAT</w:instrText>
    </w:r>
    <w:r>
      <w:fldChar w:fldCharType="separate"/>
    </w:r>
    <w:r w:rsidR="006028E0">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6A0" w:rsidRDefault="006D06A0" w:rsidP="00335E35">
      <w:r>
        <w:separator/>
      </w:r>
    </w:p>
  </w:footnote>
  <w:footnote w:type="continuationSeparator" w:id="0">
    <w:p w:rsidR="006D06A0" w:rsidRDefault="006D06A0"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67" w:rsidRPr="00D7692D" w:rsidRDefault="00D7692D">
    <w:pPr>
      <w:pStyle w:val="Zhlav"/>
      <w:rPr>
        <w:i/>
        <w:lang w:val="cs-CZ"/>
      </w:rPr>
    </w:pPr>
    <w:r>
      <w:rPr>
        <w:lang w:val="cs-CZ"/>
      </w:rPr>
      <w:tab/>
      <w:t xml:space="preserve">                                               </w:t>
    </w:r>
    <w:r>
      <w:rPr>
        <w:lang w:val="cs-CZ"/>
      </w:rPr>
      <w:tab/>
      <w:t xml:space="preserve"> </w:t>
    </w:r>
    <w:r w:rsidR="006028E0">
      <w:rPr>
        <w:i/>
        <w:lang w:val="cs-CZ"/>
      </w:rPr>
      <w:t>S146</w:t>
    </w:r>
    <w:r w:rsidRPr="00FD38CA">
      <w:rPr>
        <w:i/>
        <w:lang w:val="cs-CZ"/>
      </w:rPr>
      <w:t>/1</w:t>
    </w:r>
    <w:r w:rsidR="00467B61" w:rsidRPr="00FD38CA">
      <w:rPr>
        <w:i/>
        <w:lang w:val="cs-CZ"/>
      </w:rPr>
      <w:t>9</w:t>
    </w:r>
    <w:r w:rsidRPr="00FD38CA">
      <w:rPr>
        <w:i/>
        <w:lang w:val="cs-CZ"/>
      </w:rPr>
      <w:t>-9560-01</w:t>
    </w:r>
    <w:r w:rsidR="00107367" w:rsidRPr="00D7692D">
      <w:rPr>
        <w:i/>
        <w:lang w:val="cs-CZ"/>
      </w:rPr>
      <w:tab/>
    </w:r>
    <w:r w:rsidR="00107367" w:rsidRPr="00D7692D">
      <w:rPr>
        <w:i/>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A83017E"/>
    <w:multiLevelType w:val="hybridMultilevel"/>
    <w:tmpl w:val="5B2C05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4"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6"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9"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3"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3" w15:restartNumberingAfterBreak="0">
    <w:nsid w:val="48DA21F7"/>
    <w:multiLevelType w:val="hybridMultilevel"/>
    <w:tmpl w:val="CE3A32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6"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2"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4"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5"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7" w15:restartNumberingAfterBreak="0">
    <w:nsid w:val="6F462D0E"/>
    <w:multiLevelType w:val="hybridMultilevel"/>
    <w:tmpl w:val="547457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9"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1"/>
  </w:num>
  <w:num w:numId="2">
    <w:abstractNumId w:val="33"/>
  </w:num>
  <w:num w:numId="3">
    <w:abstractNumId w:val="21"/>
  </w:num>
  <w:num w:numId="4">
    <w:abstractNumId w:val="21"/>
  </w:num>
  <w:num w:numId="5">
    <w:abstractNumId w:val="25"/>
  </w:num>
  <w:num w:numId="6">
    <w:abstractNumId w:val="21"/>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36"/>
  </w:num>
  <w:num w:numId="18">
    <w:abstractNumId w:val="3"/>
  </w:num>
  <w:num w:numId="19">
    <w:abstractNumId w:val="27"/>
  </w:num>
  <w:num w:numId="20">
    <w:abstractNumId w:val="16"/>
  </w:num>
  <w:num w:numId="21">
    <w:abstractNumId w:val="26"/>
  </w:num>
  <w:num w:numId="22">
    <w:abstractNumId w:val="2"/>
  </w:num>
  <w:num w:numId="23">
    <w:abstractNumId w:val="38"/>
  </w:num>
  <w:num w:numId="24">
    <w:abstractNumId w:val="4"/>
  </w:num>
  <w:num w:numId="25">
    <w:abstractNumId w:val="29"/>
  </w:num>
  <w:num w:numId="26">
    <w:abstractNumId w:val="7"/>
  </w:num>
  <w:num w:numId="27">
    <w:abstractNumId w:val="6"/>
  </w:num>
  <w:num w:numId="28">
    <w:abstractNumId w:val="40"/>
  </w:num>
  <w:num w:numId="29">
    <w:abstractNumId w:val="18"/>
  </w:num>
  <w:num w:numId="30">
    <w:abstractNumId w:val="20"/>
  </w:num>
  <w:num w:numId="31">
    <w:abstractNumId w:val="22"/>
  </w:num>
  <w:num w:numId="32">
    <w:abstractNumId w:val="19"/>
  </w:num>
  <w:num w:numId="33">
    <w:abstractNumId w:val="32"/>
  </w:num>
  <w:num w:numId="34">
    <w:abstractNumId w:val="9"/>
  </w:num>
  <w:num w:numId="35">
    <w:abstractNumId w:val="14"/>
  </w:num>
  <w:num w:numId="36">
    <w:abstractNumId w:val="0"/>
    <w:lvlOverride w:ilvl="0">
      <w:startOverride w:val="1"/>
    </w:lvlOverride>
  </w:num>
  <w:num w:numId="37">
    <w:abstractNumId w:val="24"/>
  </w:num>
  <w:num w:numId="38">
    <w:abstractNumId w:val="28"/>
  </w:num>
  <w:num w:numId="39">
    <w:abstractNumId w:val="1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5"/>
  </w:num>
  <w:num w:numId="43">
    <w:abstractNumId w:val="39"/>
  </w:num>
  <w:num w:numId="44">
    <w:abstractNumId w:val="35"/>
  </w:num>
  <w:num w:numId="45">
    <w:abstractNumId w:val="37"/>
  </w:num>
  <w:num w:numId="46">
    <w:abstractNumId w:val="2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35"/>
    <w:rsid w:val="00000C8D"/>
    <w:rsid w:val="00004195"/>
    <w:rsid w:val="00010450"/>
    <w:rsid w:val="00011A7A"/>
    <w:rsid w:val="000149DF"/>
    <w:rsid w:val="000217E5"/>
    <w:rsid w:val="00023F40"/>
    <w:rsid w:val="000278B5"/>
    <w:rsid w:val="00035824"/>
    <w:rsid w:val="0003763A"/>
    <w:rsid w:val="00037CF3"/>
    <w:rsid w:val="00047396"/>
    <w:rsid w:val="000501D1"/>
    <w:rsid w:val="0005166D"/>
    <w:rsid w:val="00051EA8"/>
    <w:rsid w:val="00057FEE"/>
    <w:rsid w:val="00071A81"/>
    <w:rsid w:val="0007626E"/>
    <w:rsid w:val="00076D14"/>
    <w:rsid w:val="00080AA5"/>
    <w:rsid w:val="00087183"/>
    <w:rsid w:val="000A5DAA"/>
    <w:rsid w:val="000A5E74"/>
    <w:rsid w:val="000B02AB"/>
    <w:rsid w:val="000C180A"/>
    <w:rsid w:val="000C46AA"/>
    <w:rsid w:val="000C5109"/>
    <w:rsid w:val="000D06E2"/>
    <w:rsid w:val="000D18CF"/>
    <w:rsid w:val="000D1963"/>
    <w:rsid w:val="00100C6F"/>
    <w:rsid w:val="00102546"/>
    <w:rsid w:val="001026CB"/>
    <w:rsid w:val="00107367"/>
    <w:rsid w:val="00120F8F"/>
    <w:rsid w:val="00121C80"/>
    <w:rsid w:val="001227D7"/>
    <w:rsid w:val="00123148"/>
    <w:rsid w:val="00133F4A"/>
    <w:rsid w:val="001349D3"/>
    <w:rsid w:val="00141EC9"/>
    <w:rsid w:val="00145CD4"/>
    <w:rsid w:val="001461C8"/>
    <w:rsid w:val="001473AD"/>
    <w:rsid w:val="00152C8C"/>
    <w:rsid w:val="001550D8"/>
    <w:rsid w:val="00157F5D"/>
    <w:rsid w:val="001632A4"/>
    <w:rsid w:val="00164895"/>
    <w:rsid w:val="00174B6D"/>
    <w:rsid w:val="0017501D"/>
    <w:rsid w:val="00175F16"/>
    <w:rsid w:val="00177676"/>
    <w:rsid w:val="00177936"/>
    <w:rsid w:val="00177FBB"/>
    <w:rsid w:val="00183D29"/>
    <w:rsid w:val="00195041"/>
    <w:rsid w:val="001974EA"/>
    <w:rsid w:val="001A0CEF"/>
    <w:rsid w:val="001C1023"/>
    <w:rsid w:val="001C1C17"/>
    <w:rsid w:val="001C29C7"/>
    <w:rsid w:val="001C3210"/>
    <w:rsid w:val="001C356E"/>
    <w:rsid w:val="001C5019"/>
    <w:rsid w:val="001D57C0"/>
    <w:rsid w:val="001D720F"/>
    <w:rsid w:val="001E0B81"/>
    <w:rsid w:val="001E1E9F"/>
    <w:rsid w:val="001E55A6"/>
    <w:rsid w:val="001F0B05"/>
    <w:rsid w:val="001F3929"/>
    <w:rsid w:val="001F58B0"/>
    <w:rsid w:val="001F774E"/>
    <w:rsid w:val="00201F07"/>
    <w:rsid w:val="0020240E"/>
    <w:rsid w:val="00205B3C"/>
    <w:rsid w:val="00210765"/>
    <w:rsid w:val="00212CA6"/>
    <w:rsid w:val="00214D87"/>
    <w:rsid w:val="002155BA"/>
    <w:rsid w:val="00236654"/>
    <w:rsid w:val="00241DBB"/>
    <w:rsid w:val="00251E49"/>
    <w:rsid w:val="0025622A"/>
    <w:rsid w:val="00273782"/>
    <w:rsid w:val="00291CF4"/>
    <w:rsid w:val="002A1EF5"/>
    <w:rsid w:val="002A54F9"/>
    <w:rsid w:val="002B6BCB"/>
    <w:rsid w:val="002B7306"/>
    <w:rsid w:val="002C3349"/>
    <w:rsid w:val="002C6894"/>
    <w:rsid w:val="002C6C11"/>
    <w:rsid w:val="002D7F9C"/>
    <w:rsid w:val="002E0C08"/>
    <w:rsid w:val="002E1FAF"/>
    <w:rsid w:val="002E7BA4"/>
    <w:rsid w:val="002F197B"/>
    <w:rsid w:val="002F2EA6"/>
    <w:rsid w:val="00311684"/>
    <w:rsid w:val="00312289"/>
    <w:rsid w:val="00314C43"/>
    <w:rsid w:val="00320016"/>
    <w:rsid w:val="003208F6"/>
    <w:rsid w:val="003211E5"/>
    <w:rsid w:val="003224AF"/>
    <w:rsid w:val="00324A76"/>
    <w:rsid w:val="00326B46"/>
    <w:rsid w:val="00326EFC"/>
    <w:rsid w:val="00335E35"/>
    <w:rsid w:val="00340366"/>
    <w:rsid w:val="00340896"/>
    <w:rsid w:val="003429E0"/>
    <w:rsid w:val="0034312C"/>
    <w:rsid w:val="00347180"/>
    <w:rsid w:val="00360B63"/>
    <w:rsid w:val="00360E0F"/>
    <w:rsid w:val="00370107"/>
    <w:rsid w:val="00382A06"/>
    <w:rsid w:val="00387530"/>
    <w:rsid w:val="00392871"/>
    <w:rsid w:val="003A03C4"/>
    <w:rsid w:val="003A7262"/>
    <w:rsid w:val="003B5888"/>
    <w:rsid w:val="003C1C2F"/>
    <w:rsid w:val="003C38B5"/>
    <w:rsid w:val="003D69F5"/>
    <w:rsid w:val="003E0466"/>
    <w:rsid w:val="003E174F"/>
    <w:rsid w:val="003E295A"/>
    <w:rsid w:val="003E2A59"/>
    <w:rsid w:val="003E2B56"/>
    <w:rsid w:val="003E7539"/>
    <w:rsid w:val="003F5B41"/>
    <w:rsid w:val="00400701"/>
    <w:rsid w:val="00404A34"/>
    <w:rsid w:val="00421756"/>
    <w:rsid w:val="00423F82"/>
    <w:rsid w:val="00424A0D"/>
    <w:rsid w:val="0043043B"/>
    <w:rsid w:val="00430B33"/>
    <w:rsid w:val="00436692"/>
    <w:rsid w:val="004424C2"/>
    <w:rsid w:val="0044761E"/>
    <w:rsid w:val="00452337"/>
    <w:rsid w:val="00452382"/>
    <w:rsid w:val="00455952"/>
    <w:rsid w:val="00456E3F"/>
    <w:rsid w:val="00462628"/>
    <w:rsid w:val="00467B61"/>
    <w:rsid w:val="00471E61"/>
    <w:rsid w:val="00473EC6"/>
    <w:rsid w:val="00485B63"/>
    <w:rsid w:val="00494551"/>
    <w:rsid w:val="004A4815"/>
    <w:rsid w:val="004A71C5"/>
    <w:rsid w:val="004B1697"/>
    <w:rsid w:val="004C5FFE"/>
    <w:rsid w:val="004D2697"/>
    <w:rsid w:val="004D4364"/>
    <w:rsid w:val="004E0D78"/>
    <w:rsid w:val="004E1FEC"/>
    <w:rsid w:val="004F2289"/>
    <w:rsid w:val="004F40A1"/>
    <w:rsid w:val="004F4F06"/>
    <w:rsid w:val="004F55D8"/>
    <w:rsid w:val="004F76E8"/>
    <w:rsid w:val="005011B3"/>
    <w:rsid w:val="00501440"/>
    <w:rsid w:val="00502D4F"/>
    <w:rsid w:val="00502E11"/>
    <w:rsid w:val="00504CB1"/>
    <w:rsid w:val="00506A28"/>
    <w:rsid w:val="00512FE2"/>
    <w:rsid w:val="005138CB"/>
    <w:rsid w:val="005201F3"/>
    <w:rsid w:val="005239C3"/>
    <w:rsid w:val="00527D26"/>
    <w:rsid w:val="00532917"/>
    <w:rsid w:val="00534507"/>
    <w:rsid w:val="0053739F"/>
    <w:rsid w:val="005422FF"/>
    <w:rsid w:val="00550162"/>
    <w:rsid w:val="00554051"/>
    <w:rsid w:val="00567361"/>
    <w:rsid w:val="00582A36"/>
    <w:rsid w:val="0059349B"/>
    <w:rsid w:val="005A516C"/>
    <w:rsid w:val="005B0508"/>
    <w:rsid w:val="005C3587"/>
    <w:rsid w:val="005D495D"/>
    <w:rsid w:val="005E0C95"/>
    <w:rsid w:val="005E7194"/>
    <w:rsid w:val="005E74B1"/>
    <w:rsid w:val="005E7F86"/>
    <w:rsid w:val="006028E0"/>
    <w:rsid w:val="00602AC5"/>
    <w:rsid w:val="0060341E"/>
    <w:rsid w:val="00606924"/>
    <w:rsid w:val="00610AF9"/>
    <w:rsid w:val="00610D99"/>
    <w:rsid w:val="006119B2"/>
    <w:rsid w:val="006203E9"/>
    <w:rsid w:val="00620A6F"/>
    <w:rsid w:val="00622BDA"/>
    <w:rsid w:val="00627A78"/>
    <w:rsid w:val="00635091"/>
    <w:rsid w:val="00642489"/>
    <w:rsid w:val="00643D3D"/>
    <w:rsid w:val="00643D46"/>
    <w:rsid w:val="006463A4"/>
    <w:rsid w:val="0064685C"/>
    <w:rsid w:val="0065427F"/>
    <w:rsid w:val="00660785"/>
    <w:rsid w:val="00662C21"/>
    <w:rsid w:val="00667659"/>
    <w:rsid w:val="00670D39"/>
    <w:rsid w:val="006756A0"/>
    <w:rsid w:val="00681EA3"/>
    <w:rsid w:val="006864DD"/>
    <w:rsid w:val="006868FA"/>
    <w:rsid w:val="0069214B"/>
    <w:rsid w:val="006C778E"/>
    <w:rsid w:val="006D06A0"/>
    <w:rsid w:val="006D0C92"/>
    <w:rsid w:val="006D4E6D"/>
    <w:rsid w:val="006D76A1"/>
    <w:rsid w:val="006E4E98"/>
    <w:rsid w:val="006F6F60"/>
    <w:rsid w:val="00702D51"/>
    <w:rsid w:val="00711C43"/>
    <w:rsid w:val="0071260F"/>
    <w:rsid w:val="00716673"/>
    <w:rsid w:val="0071764E"/>
    <w:rsid w:val="0072602D"/>
    <w:rsid w:val="00726F1B"/>
    <w:rsid w:val="0073008C"/>
    <w:rsid w:val="007369B1"/>
    <w:rsid w:val="0073787A"/>
    <w:rsid w:val="00740BC6"/>
    <w:rsid w:val="007447F7"/>
    <w:rsid w:val="0074574F"/>
    <w:rsid w:val="007515C1"/>
    <w:rsid w:val="00764866"/>
    <w:rsid w:val="00764934"/>
    <w:rsid w:val="00773DCC"/>
    <w:rsid w:val="0077681E"/>
    <w:rsid w:val="00795EE3"/>
    <w:rsid w:val="007A47F3"/>
    <w:rsid w:val="007A526E"/>
    <w:rsid w:val="007C743F"/>
    <w:rsid w:val="007C75B9"/>
    <w:rsid w:val="007D1CE3"/>
    <w:rsid w:val="007D5D05"/>
    <w:rsid w:val="007D5F74"/>
    <w:rsid w:val="007E0DFE"/>
    <w:rsid w:val="007E274E"/>
    <w:rsid w:val="007E2B04"/>
    <w:rsid w:val="007E58B9"/>
    <w:rsid w:val="007F0380"/>
    <w:rsid w:val="00803116"/>
    <w:rsid w:val="00824FC0"/>
    <w:rsid w:val="00832A51"/>
    <w:rsid w:val="00846F7D"/>
    <w:rsid w:val="00860EA0"/>
    <w:rsid w:val="008616FC"/>
    <w:rsid w:val="00861AB4"/>
    <w:rsid w:val="00862BF8"/>
    <w:rsid w:val="00867D3A"/>
    <w:rsid w:val="00873311"/>
    <w:rsid w:val="00881FEC"/>
    <w:rsid w:val="0089364E"/>
    <w:rsid w:val="00896075"/>
    <w:rsid w:val="00897024"/>
    <w:rsid w:val="008A073F"/>
    <w:rsid w:val="008A0EFE"/>
    <w:rsid w:val="008B4DB1"/>
    <w:rsid w:val="008B7BE5"/>
    <w:rsid w:val="008C0500"/>
    <w:rsid w:val="008C087D"/>
    <w:rsid w:val="008C103A"/>
    <w:rsid w:val="008C1FC0"/>
    <w:rsid w:val="008C2EAA"/>
    <w:rsid w:val="008E2DD8"/>
    <w:rsid w:val="008E3845"/>
    <w:rsid w:val="008F1EC5"/>
    <w:rsid w:val="008F2D3D"/>
    <w:rsid w:val="008F5775"/>
    <w:rsid w:val="00923771"/>
    <w:rsid w:val="00925408"/>
    <w:rsid w:val="009304E4"/>
    <w:rsid w:val="00930774"/>
    <w:rsid w:val="00933C97"/>
    <w:rsid w:val="00940592"/>
    <w:rsid w:val="00950667"/>
    <w:rsid w:val="00952C76"/>
    <w:rsid w:val="00961A79"/>
    <w:rsid w:val="00961D25"/>
    <w:rsid w:val="00964E81"/>
    <w:rsid w:val="00967012"/>
    <w:rsid w:val="00971C0F"/>
    <w:rsid w:val="009A6974"/>
    <w:rsid w:val="009C13E5"/>
    <w:rsid w:val="009C2D92"/>
    <w:rsid w:val="009C38B1"/>
    <w:rsid w:val="009C61DF"/>
    <w:rsid w:val="009C74DA"/>
    <w:rsid w:val="009D71F9"/>
    <w:rsid w:val="009E00D3"/>
    <w:rsid w:val="009E1019"/>
    <w:rsid w:val="009E30B5"/>
    <w:rsid w:val="009F32B5"/>
    <w:rsid w:val="00A02F30"/>
    <w:rsid w:val="00A1113C"/>
    <w:rsid w:val="00A13D6F"/>
    <w:rsid w:val="00A2080F"/>
    <w:rsid w:val="00A31E5A"/>
    <w:rsid w:val="00A34481"/>
    <w:rsid w:val="00A346F4"/>
    <w:rsid w:val="00A41042"/>
    <w:rsid w:val="00A439BE"/>
    <w:rsid w:val="00A5074C"/>
    <w:rsid w:val="00A53620"/>
    <w:rsid w:val="00A57B76"/>
    <w:rsid w:val="00A67333"/>
    <w:rsid w:val="00A71CA1"/>
    <w:rsid w:val="00A7715B"/>
    <w:rsid w:val="00A8241F"/>
    <w:rsid w:val="00A865AE"/>
    <w:rsid w:val="00A914A1"/>
    <w:rsid w:val="00AA135F"/>
    <w:rsid w:val="00AA2BBD"/>
    <w:rsid w:val="00AA3E99"/>
    <w:rsid w:val="00AA4249"/>
    <w:rsid w:val="00AA5A29"/>
    <w:rsid w:val="00AB0262"/>
    <w:rsid w:val="00AB0D70"/>
    <w:rsid w:val="00AB55ED"/>
    <w:rsid w:val="00AB6F2C"/>
    <w:rsid w:val="00AC074D"/>
    <w:rsid w:val="00AC4A92"/>
    <w:rsid w:val="00AC561A"/>
    <w:rsid w:val="00AC67C2"/>
    <w:rsid w:val="00AD2950"/>
    <w:rsid w:val="00AD3A38"/>
    <w:rsid w:val="00AE0838"/>
    <w:rsid w:val="00AE0BC4"/>
    <w:rsid w:val="00AE4BA0"/>
    <w:rsid w:val="00AF3620"/>
    <w:rsid w:val="00AF58F5"/>
    <w:rsid w:val="00B010C6"/>
    <w:rsid w:val="00B01277"/>
    <w:rsid w:val="00B028BE"/>
    <w:rsid w:val="00B02DB9"/>
    <w:rsid w:val="00B060B2"/>
    <w:rsid w:val="00B13844"/>
    <w:rsid w:val="00B14EDF"/>
    <w:rsid w:val="00B24AD1"/>
    <w:rsid w:val="00B24CC5"/>
    <w:rsid w:val="00B25584"/>
    <w:rsid w:val="00B43171"/>
    <w:rsid w:val="00B4340C"/>
    <w:rsid w:val="00B44675"/>
    <w:rsid w:val="00B72A11"/>
    <w:rsid w:val="00B92788"/>
    <w:rsid w:val="00B96EC1"/>
    <w:rsid w:val="00BA5641"/>
    <w:rsid w:val="00BB43D9"/>
    <w:rsid w:val="00BC1480"/>
    <w:rsid w:val="00BE7072"/>
    <w:rsid w:val="00BF6600"/>
    <w:rsid w:val="00C0599B"/>
    <w:rsid w:val="00C1218F"/>
    <w:rsid w:val="00C12C51"/>
    <w:rsid w:val="00C13735"/>
    <w:rsid w:val="00C16D77"/>
    <w:rsid w:val="00C22257"/>
    <w:rsid w:val="00C32487"/>
    <w:rsid w:val="00C364AF"/>
    <w:rsid w:val="00C50FDC"/>
    <w:rsid w:val="00C53F64"/>
    <w:rsid w:val="00C57FD7"/>
    <w:rsid w:val="00C610FB"/>
    <w:rsid w:val="00C67A28"/>
    <w:rsid w:val="00C805F7"/>
    <w:rsid w:val="00C841E3"/>
    <w:rsid w:val="00C93E0B"/>
    <w:rsid w:val="00C97CC8"/>
    <w:rsid w:val="00CA399E"/>
    <w:rsid w:val="00CC1AB7"/>
    <w:rsid w:val="00CC7463"/>
    <w:rsid w:val="00CE0BF2"/>
    <w:rsid w:val="00CE5EC6"/>
    <w:rsid w:val="00CE73B0"/>
    <w:rsid w:val="00CE7A43"/>
    <w:rsid w:val="00CF28D1"/>
    <w:rsid w:val="00CF3ED8"/>
    <w:rsid w:val="00D014FF"/>
    <w:rsid w:val="00D0270A"/>
    <w:rsid w:val="00D04F9D"/>
    <w:rsid w:val="00D157C1"/>
    <w:rsid w:val="00D15B5D"/>
    <w:rsid w:val="00D21BB7"/>
    <w:rsid w:val="00D34308"/>
    <w:rsid w:val="00D353A1"/>
    <w:rsid w:val="00D359CC"/>
    <w:rsid w:val="00D47A43"/>
    <w:rsid w:val="00D55406"/>
    <w:rsid w:val="00D554B4"/>
    <w:rsid w:val="00D63CF0"/>
    <w:rsid w:val="00D66B15"/>
    <w:rsid w:val="00D713EB"/>
    <w:rsid w:val="00D7692D"/>
    <w:rsid w:val="00D85194"/>
    <w:rsid w:val="00D85FFA"/>
    <w:rsid w:val="00D94477"/>
    <w:rsid w:val="00D967BE"/>
    <w:rsid w:val="00DA23C4"/>
    <w:rsid w:val="00DC28A0"/>
    <w:rsid w:val="00DC410F"/>
    <w:rsid w:val="00DC49CF"/>
    <w:rsid w:val="00DC72B5"/>
    <w:rsid w:val="00DD34F0"/>
    <w:rsid w:val="00DD568C"/>
    <w:rsid w:val="00DE027A"/>
    <w:rsid w:val="00DE2129"/>
    <w:rsid w:val="00DE5B5F"/>
    <w:rsid w:val="00DF016E"/>
    <w:rsid w:val="00DF2A23"/>
    <w:rsid w:val="00DF3131"/>
    <w:rsid w:val="00E03C18"/>
    <w:rsid w:val="00E236AC"/>
    <w:rsid w:val="00E26498"/>
    <w:rsid w:val="00E26F6A"/>
    <w:rsid w:val="00E31DCA"/>
    <w:rsid w:val="00E35900"/>
    <w:rsid w:val="00E35EB8"/>
    <w:rsid w:val="00E37F0C"/>
    <w:rsid w:val="00E401F6"/>
    <w:rsid w:val="00E458DD"/>
    <w:rsid w:val="00E45EE5"/>
    <w:rsid w:val="00E549A1"/>
    <w:rsid w:val="00E55433"/>
    <w:rsid w:val="00E575DD"/>
    <w:rsid w:val="00E577D1"/>
    <w:rsid w:val="00E65D67"/>
    <w:rsid w:val="00E66F17"/>
    <w:rsid w:val="00E77A06"/>
    <w:rsid w:val="00E83210"/>
    <w:rsid w:val="00E90892"/>
    <w:rsid w:val="00EA62F7"/>
    <w:rsid w:val="00EA7E06"/>
    <w:rsid w:val="00EB4E0F"/>
    <w:rsid w:val="00EB78DB"/>
    <w:rsid w:val="00EC1E75"/>
    <w:rsid w:val="00EC1F11"/>
    <w:rsid w:val="00ED03F0"/>
    <w:rsid w:val="00ED7342"/>
    <w:rsid w:val="00EE513F"/>
    <w:rsid w:val="00EE587D"/>
    <w:rsid w:val="00EF1B69"/>
    <w:rsid w:val="00F0129A"/>
    <w:rsid w:val="00F07E09"/>
    <w:rsid w:val="00F10017"/>
    <w:rsid w:val="00F10F0A"/>
    <w:rsid w:val="00F1144F"/>
    <w:rsid w:val="00F234FF"/>
    <w:rsid w:val="00F24559"/>
    <w:rsid w:val="00F2773D"/>
    <w:rsid w:val="00F34218"/>
    <w:rsid w:val="00F3569B"/>
    <w:rsid w:val="00F366AA"/>
    <w:rsid w:val="00F40B2D"/>
    <w:rsid w:val="00F525D7"/>
    <w:rsid w:val="00F57A64"/>
    <w:rsid w:val="00F57BA7"/>
    <w:rsid w:val="00F62063"/>
    <w:rsid w:val="00F62306"/>
    <w:rsid w:val="00F62C1D"/>
    <w:rsid w:val="00F678FA"/>
    <w:rsid w:val="00F75C16"/>
    <w:rsid w:val="00F93C10"/>
    <w:rsid w:val="00FB1BE8"/>
    <w:rsid w:val="00FB61CB"/>
    <w:rsid w:val="00FC3CB0"/>
    <w:rsid w:val="00FC5C64"/>
    <w:rsid w:val="00FD38CA"/>
    <w:rsid w:val="00FD62A8"/>
    <w:rsid w:val="00FE4D40"/>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58DF8"/>
  <w15:docId w15:val="{72F27472-172B-45FF-8E27-F121071A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1"/>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3569B"/>
    <w:pPr>
      <w:widowControl w:val="0"/>
      <w:spacing w:after="120"/>
    </w:pPr>
    <w:rPr>
      <w:rFonts w:asciiTheme="minorHAnsi" w:eastAsiaTheme="minorHAnsi" w:hAnsiTheme="minorHAnsi" w:cstheme="minorBidi"/>
      <w:sz w:val="16"/>
      <w:szCs w:val="16"/>
      <w:lang w:val="en-US" w:eastAsia="en-US"/>
    </w:rPr>
  </w:style>
  <w:style w:type="character" w:customStyle="1" w:styleId="Zkladntext3Char">
    <w:name w:val="Základní text 3 Char"/>
    <w:basedOn w:val="Standardnpsmoodstavce"/>
    <w:link w:val="Zkladntext3"/>
    <w:uiPriority w:val="99"/>
    <w:semiHidden/>
    <w:rsid w:val="00F3569B"/>
    <w:rPr>
      <w:rFonts w:asciiTheme="minorHAnsi" w:eastAsiaTheme="minorHAnsi" w:hAnsiTheme="minorHAnsi"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hendrych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D151-BEB2-4F1E-A7E7-AE2A286C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1660</Words>
  <Characters>9798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11436</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90</cp:revision>
  <cp:lastPrinted>2019-06-03T16:12:00Z</cp:lastPrinted>
  <dcterms:created xsi:type="dcterms:W3CDTF">2017-02-07T09:04:00Z</dcterms:created>
  <dcterms:modified xsi:type="dcterms:W3CDTF">2019-06-03T16:26:00Z</dcterms:modified>
</cp:coreProperties>
</file>