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4565F3A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3455DC84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841BFB" w:rsidRPr="00841BFB">
        <w:rPr>
          <w:rFonts w:ascii="Tahoma" w:hAnsi="Tahoma" w:cs="Tahoma"/>
          <w:sz w:val="20"/>
          <w:szCs w:val="20"/>
        </w:rPr>
        <w:t>prof. Ing. Robert Čep, Ph.D.</w:t>
      </w:r>
      <w:r w:rsidR="00F834DF" w:rsidRPr="00F834DF">
        <w:rPr>
          <w:rFonts w:ascii="Tahoma" w:hAnsi="Tahoma" w:cs="Tahoma"/>
          <w:sz w:val="20"/>
          <w:szCs w:val="20"/>
        </w:rPr>
        <w:t>, děkan Fakulty strojní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1C516602" w:rsidR="00FC72FF" w:rsidRPr="005921AD" w:rsidRDefault="00F834D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sz w:val="20"/>
          <w:szCs w:val="20"/>
        </w:rPr>
        <w:t>Ing. David Fojtík,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david.fojtik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F834DF">
        <w:rPr>
          <w:rFonts w:ascii="Tahoma" w:hAnsi="Tahoma" w:cs="Tahoma"/>
          <w:sz w:val="20"/>
          <w:szCs w:val="20"/>
        </w:rPr>
        <w:t>597 324 193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073E341E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B52C73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2255A0F8" w:rsidR="00A132AB" w:rsidRPr="00E8258F" w:rsidRDefault="008A5E9A" w:rsidP="00574DCB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2C56EE" w:rsidRPr="002C56EE">
        <w:rPr>
          <w:rFonts w:ascii="Tahoma" w:hAnsi="Tahoma" w:cs="Tahoma"/>
          <w:sz w:val="20"/>
          <w:szCs w:val="20"/>
        </w:rPr>
        <w:t>Zařízení pro mobilní pracoviště bezkontaktních metod měření rozměrů a tvarů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F834DF" w:rsidRPr="00F834DF">
        <w:rPr>
          <w:rFonts w:ascii="Tahoma" w:hAnsi="Tahoma" w:cs="Tahoma"/>
          <w:sz w:val="20"/>
          <w:szCs w:val="20"/>
        </w:rPr>
        <w:t xml:space="preserve">Centrum výzkumu pokročilých </w:t>
      </w:r>
      <w:proofErr w:type="spellStart"/>
      <w:r w:rsidR="00F834DF" w:rsidRPr="00F834DF">
        <w:rPr>
          <w:rFonts w:ascii="Tahoma" w:hAnsi="Tahoma" w:cs="Tahoma"/>
          <w:sz w:val="20"/>
          <w:szCs w:val="20"/>
        </w:rPr>
        <w:t>mechatronických</w:t>
      </w:r>
      <w:proofErr w:type="spellEnd"/>
      <w:r w:rsidR="00F834DF" w:rsidRPr="00F834DF">
        <w:rPr>
          <w:rFonts w:ascii="Tahoma" w:hAnsi="Tahoma" w:cs="Tahoma"/>
          <w:sz w:val="20"/>
          <w:szCs w:val="20"/>
        </w:rPr>
        <w:t xml:space="preserve">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F834DF" w:rsidRPr="00F834DF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  <w:r w:rsidR="00AF420A" w:rsidRPr="00AF420A">
        <w:rPr>
          <w:rFonts w:ascii="Tahoma" w:hAnsi="Tahoma" w:cs="Tahoma"/>
          <w:sz w:val="20"/>
          <w:szCs w:val="20"/>
        </w:rPr>
        <w:t xml:space="preserve">Veřejná zakázka je rozdělena na </w:t>
      </w:r>
      <w:r w:rsidR="002C56EE">
        <w:rPr>
          <w:rFonts w:ascii="Tahoma" w:hAnsi="Tahoma" w:cs="Tahoma"/>
          <w:sz w:val="20"/>
          <w:szCs w:val="20"/>
        </w:rPr>
        <w:t>3</w:t>
      </w:r>
      <w:r w:rsidR="00AF420A" w:rsidRPr="00AF420A">
        <w:rPr>
          <w:rFonts w:ascii="Tahoma" w:hAnsi="Tahoma" w:cs="Tahoma"/>
          <w:sz w:val="20"/>
          <w:szCs w:val="20"/>
        </w:rPr>
        <w:t xml:space="preserve"> část</w:t>
      </w:r>
      <w:r w:rsidR="002C56EE">
        <w:rPr>
          <w:rFonts w:ascii="Tahoma" w:hAnsi="Tahoma" w:cs="Tahoma"/>
          <w:sz w:val="20"/>
          <w:szCs w:val="20"/>
        </w:rPr>
        <w:t>i</w:t>
      </w:r>
      <w:r w:rsidR="00AF420A" w:rsidRPr="00AF420A">
        <w:rPr>
          <w:rFonts w:ascii="Tahoma" w:hAnsi="Tahoma" w:cs="Tahoma"/>
          <w:sz w:val="20"/>
          <w:szCs w:val="20"/>
        </w:rPr>
        <w:t xml:space="preserve">, přičemž tato Smlouva se týká části </w:t>
      </w:r>
      <w:r w:rsidR="00C37223">
        <w:rPr>
          <w:rFonts w:ascii="Tahoma" w:hAnsi="Tahoma" w:cs="Tahoma"/>
          <w:sz w:val="20"/>
          <w:szCs w:val="20"/>
        </w:rPr>
        <w:t>I</w:t>
      </w:r>
      <w:r w:rsidR="00AF420A" w:rsidRPr="00AF420A">
        <w:rPr>
          <w:rFonts w:ascii="Tahoma" w:hAnsi="Tahoma" w:cs="Tahoma"/>
          <w:sz w:val="20"/>
          <w:szCs w:val="20"/>
        </w:rPr>
        <w:t>I. „</w:t>
      </w:r>
      <w:r w:rsidR="00C37223" w:rsidRPr="00C37223">
        <w:rPr>
          <w:rFonts w:ascii="Tahoma" w:hAnsi="Tahoma" w:cs="Tahoma"/>
          <w:sz w:val="20"/>
          <w:szCs w:val="20"/>
        </w:rPr>
        <w:t>Laserové měřicí přístroje</w:t>
      </w:r>
      <w:r w:rsidR="00AF420A" w:rsidRPr="00AF420A">
        <w:rPr>
          <w:rFonts w:ascii="Tahoma" w:hAnsi="Tahoma" w:cs="Tahoma"/>
          <w:sz w:val="20"/>
          <w:szCs w:val="20"/>
        </w:rPr>
        <w:t>“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5A94EC64" w:rsidR="00A132AB" w:rsidRPr="00991898" w:rsidRDefault="001C658A" w:rsidP="00574DCB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C37223">
        <w:rPr>
          <w:rFonts w:ascii="Tahoma" w:hAnsi="Tahoma" w:cs="Tahoma"/>
          <w:b/>
          <w:bCs/>
          <w:sz w:val="20"/>
          <w:szCs w:val="20"/>
        </w:rPr>
        <w:t>l</w:t>
      </w:r>
      <w:r w:rsidR="00C37223" w:rsidRPr="00C37223">
        <w:rPr>
          <w:rFonts w:ascii="Tahoma" w:hAnsi="Tahoma" w:cs="Tahoma"/>
          <w:b/>
          <w:bCs/>
          <w:sz w:val="20"/>
          <w:szCs w:val="20"/>
        </w:rPr>
        <w:t>aserový senzor měření rychlosti a vzdálenosti na principu Dopplerové interference</w:t>
      </w:r>
      <w:r w:rsidR="00C37223">
        <w:rPr>
          <w:rFonts w:ascii="Tahoma" w:hAnsi="Tahoma" w:cs="Tahoma"/>
          <w:b/>
          <w:bCs/>
          <w:sz w:val="20"/>
          <w:szCs w:val="20"/>
        </w:rPr>
        <w:t>, b</w:t>
      </w:r>
      <w:r w:rsidR="00C37223" w:rsidRPr="00C37223">
        <w:rPr>
          <w:rFonts w:ascii="Tahoma" w:hAnsi="Tahoma" w:cs="Tahoma"/>
          <w:b/>
          <w:bCs/>
          <w:sz w:val="20"/>
          <w:szCs w:val="20"/>
        </w:rPr>
        <w:t>inokulární laserový triangulační dálkoměr</w:t>
      </w:r>
      <w:r w:rsidR="00C37223">
        <w:rPr>
          <w:rFonts w:ascii="Tahoma" w:hAnsi="Tahoma" w:cs="Tahoma"/>
          <w:b/>
          <w:bCs/>
          <w:sz w:val="20"/>
          <w:szCs w:val="20"/>
        </w:rPr>
        <w:t xml:space="preserve"> a 2x b</w:t>
      </w:r>
      <w:r w:rsidR="00C37223" w:rsidRPr="00C37223">
        <w:rPr>
          <w:rFonts w:ascii="Tahoma" w:hAnsi="Tahoma" w:cs="Tahoma"/>
          <w:b/>
          <w:bCs/>
          <w:sz w:val="20"/>
          <w:szCs w:val="20"/>
        </w:rPr>
        <w:t>inokulární laserový triangulační dálkoměr s</w:t>
      </w:r>
      <w:r w:rsidR="00C37223">
        <w:rPr>
          <w:rFonts w:ascii="Tahoma" w:hAnsi="Tahoma" w:cs="Tahoma"/>
          <w:b/>
          <w:bCs/>
          <w:sz w:val="20"/>
          <w:szCs w:val="20"/>
        </w:rPr>
        <w:t> </w:t>
      </w:r>
      <w:r w:rsidR="00C37223" w:rsidRPr="00C37223">
        <w:rPr>
          <w:rFonts w:ascii="Tahoma" w:hAnsi="Tahoma" w:cs="Tahoma"/>
          <w:b/>
          <w:bCs/>
          <w:sz w:val="20"/>
          <w:szCs w:val="20"/>
        </w:rPr>
        <w:t>dvěma rozsahy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B52C73">
        <w:rPr>
          <w:rFonts w:ascii="Tahoma" w:hAnsi="Tahoma" w:cs="Tahoma"/>
          <w:bCs/>
          <w:sz w:val="20"/>
          <w:szCs w:val="20"/>
        </w:rPr>
        <w:t>ve smlouvě také</w:t>
      </w:r>
      <w:bookmarkStart w:id="0" w:name="_GoBack"/>
      <w:bookmarkEnd w:id="0"/>
      <w:r w:rsidR="00B52C73">
        <w:rPr>
          <w:rFonts w:ascii="Tahoma" w:hAnsi="Tahoma" w:cs="Tahoma"/>
          <w:bCs/>
          <w:sz w:val="20"/>
          <w:szCs w:val="20"/>
        </w:rPr>
        <w:t xml:space="preserve"> jako</w:t>
      </w:r>
      <w:r w:rsidR="004758EE" w:rsidRPr="00991898">
        <w:rPr>
          <w:rFonts w:ascii="Tahoma" w:hAnsi="Tahoma" w:cs="Tahoma"/>
          <w:bCs/>
          <w:sz w:val="20"/>
          <w:szCs w:val="20"/>
        </w:rPr>
        <w:t xml:space="preserve">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1E12C9CD" w14:textId="09084984" w:rsidR="00724B29" w:rsidRPr="00724B29" w:rsidRDefault="00724B29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>Součásti dodávky zboží je rovněž doprava na místo plnění vče</w:t>
      </w:r>
      <w:r w:rsidR="00631EBD">
        <w:rPr>
          <w:rFonts w:ascii="Tahoma" w:hAnsi="Tahoma" w:cs="Tahoma"/>
          <w:bCs/>
          <w:sz w:val="20"/>
          <w:szCs w:val="20"/>
        </w:rPr>
        <w:t>tně vykládky a likvidace obalů</w:t>
      </w:r>
      <w:r w:rsidRPr="00724B29">
        <w:rPr>
          <w:rFonts w:ascii="Tahoma" w:hAnsi="Tahoma" w:cs="Tahoma"/>
          <w:bCs/>
          <w:sz w:val="20"/>
          <w:szCs w:val="20"/>
        </w:rPr>
        <w:t>, a dále:</w:t>
      </w:r>
    </w:p>
    <w:p w14:paraId="2153EBA5" w14:textId="7F71F0A4" w:rsidR="00CB3BFA" w:rsidRPr="00170312" w:rsidRDefault="00343D26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 xml:space="preserve">poskytnutí potřebných oprávnění k užití zboží, tj. licencí, např. k SW, který bude instalován na zboží či určený pro obsluhu zboží - v rozsahu </w:t>
      </w:r>
      <w:r w:rsidR="00AF420A">
        <w:rPr>
          <w:rFonts w:ascii="Tahoma" w:hAnsi="Tahoma" w:cs="Tahoma"/>
          <w:sz w:val="20"/>
          <w:szCs w:val="20"/>
        </w:rPr>
        <w:t>uvedeném v příloze č. 1 Smlouvy</w:t>
      </w:r>
      <w:r w:rsidR="00CB3BFA">
        <w:rPr>
          <w:rFonts w:ascii="Tahoma" w:hAnsi="Tahoma" w:cs="Tahoma"/>
          <w:sz w:val="20"/>
          <w:szCs w:val="20"/>
          <w:lang w:val="cs-CZ"/>
        </w:rPr>
        <w:t>,</w:t>
      </w:r>
    </w:p>
    <w:p w14:paraId="5129B04C" w14:textId="6BEE881F" w:rsidR="00170312" w:rsidRPr="00CB3BFA" w:rsidRDefault="00764D4E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 w:rsidRPr="00764D4E">
        <w:rPr>
          <w:rFonts w:ascii="Tahoma" w:hAnsi="Tahoma" w:cs="Tahoma"/>
          <w:sz w:val="20"/>
          <w:szCs w:val="20"/>
          <w:lang w:val="cs-CZ"/>
        </w:rPr>
        <w:t>předvedení funkčnosti zařízení</w:t>
      </w:r>
      <w:r w:rsidR="00170312">
        <w:rPr>
          <w:rFonts w:ascii="Tahoma" w:hAnsi="Tahoma" w:cs="Tahoma"/>
          <w:sz w:val="20"/>
          <w:szCs w:val="20"/>
          <w:lang w:val="cs-CZ"/>
        </w:rPr>
        <w:t>,</w:t>
      </w:r>
    </w:p>
    <w:p w14:paraId="323736AE" w14:textId="442FADFE" w:rsidR="00343D26" w:rsidRPr="00343D26" w:rsidRDefault="00CB3BFA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dokumentace ke zboží </w:t>
      </w:r>
      <w:r w:rsidR="00574DCB">
        <w:rPr>
          <w:rFonts w:ascii="Tahoma" w:hAnsi="Tahoma" w:cs="Tahoma"/>
          <w:sz w:val="20"/>
          <w:szCs w:val="20"/>
        </w:rPr>
        <w:t>–</w:t>
      </w:r>
      <w:r w:rsidRPr="00343D26">
        <w:rPr>
          <w:rFonts w:ascii="Tahoma" w:hAnsi="Tahoma" w:cs="Tahoma"/>
          <w:sz w:val="20"/>
          <w:szCs w:val="20"/>
        </w:rPr>
        <w:t xml:space="preserve"> </w:t>
      </w:r>
      <w:r w:rsidR="00574DCB">
        <w:rPr>
          <w:rFonts w:ascii="Tahoma" w:hAnsi="Tahoma" w:cs="Tahoma"/>
          <w:sz w:val="20"/>
          <w:szCs w:val="20"/>
          <w:lang w:val="cs-CZ"/>
        </w:rPr>
        <w:t>v českém nebo anglickém jazyce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1FB72A18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7B40A6">
        <w:rPr>
          <w:rFonts w:ascii="Tahoma" w:hAnsi="Tahoma" w:cs="Tahoma"/>
          <w:sz w:val="20"/>
          <w:szCs w:val="20"/>
        </w:rPr>
        <w:t>50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2E4BF045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 xml:space="preserve">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</w:t>
      </w:r>
      <w:proofErr w:type="gramEnd"/>
      <w:r w:rsidR="00E44DC6" w:rsidRPr="00E44DC6">
        <w:rPr>
          <w:rFonts w:ascii="Tahoma" w:hAnsi="Tahoma" w:cs="Tahoma"/>
          <w:bCs/>
          <w:sz w:val="20"/>
          <w:szCs w:val="20"/>
        </w:rPr>
        <w:t xml:space="preserve"> škola báňská - Technická univerzita Ostrava,</w:t>
      </w:r>
      <w:r w:rsidR="00631EBD" w:rsidRPr="00631EBD">
        <w:t xml:space="preserve"> </w:t>
      </w:r>
      <w:r w:rsidR="00631EBD" w:rsidRPr="00631EBD">
        <w:rPr>
          <w:rFonts w:ascii="Tahoma" w:hAnsi="Tahoma" w:cs="Tahoma"/>
          <w:bCs/>
          <w:sz w:val="20"/>
          <w:szCs w:val="20"/>
        </w:rPr>
        <w:t>Fakulta strojní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0DDDC9DE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574DCB" w:rsidRPr="00574DCB">
        <w:rPr>
          <w:rFonts w:ascii="Tahoma" w:hAnsi="Tahoma" w:cs="Tahoma"/>
          <w:b/>
          <w:sz w:val="20"/>
          <w:szCs w:val="20"/>
        </w:rPr>
        <w:t>marek.babiuch@vsb.cz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631EBD" w:rsidRPr="00574DCB">
        <w:rPr>
          <w:rFonts w:ascii="Tahoma" w:hAnsi="Tahoma" w:cs="Tahoma"/>
          <w:b/>
          <w:sz w:val="20"/>
          <w:szCs w:val="20"/>
        </w:rPr>
        <w:t>marcela.haluzova</w:t>
      </w:r>
      <w:r w:rsidR="00FC72FF" w:rsidRPr="00574DCB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>Prodávajícím vystavená faktura musí obsahovat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10D04FF" w14:textId="0CB72102" w:rsidR="000A77B4" w:rsidRPr="000A77B4" w:rsidRDefault="000A77B4" w:rsidP="000A77B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A77B4">
        <w:rPr>
          <w:rFonts w:ascii="Tahoma" w:hAnsi="Tahoma" w:cs="Tahoma"/>
          <w:sz w:val="20"/>
          <w:szCs w:val="20"/>
        </w:rPr>
        <w:t xml:space="preserve">Faktura vystavená </w:t>
      </w:r>
      <w:r w:rsidR="00A110E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rodávajícím</w:t>
      </w:r>
      <w:r w:rsidRPr="000A77B4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0A77B4">
        <w:rPr>
          <w:rFonts w:ascii="Tahoma" w:hAnsi="Tahoma" w:cs="Tahoma"/>
          <w:sz w:val="20"/>
          <w:szCs w:val="20"/>
        </w:rPr>
        <w:t>reg</w:t>
      </w:r>
      <w:proofErr w:type="spellEnd"/>
      <w:r w:rsidRPr="000A77B4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 w:rsidR="00A110E1">
        <w:rPr>
          <w:rFonts w:ascii="Tahoma" w:hAnsi="Tahoma" w:cs="Tahoma"/>
          <w:sz w:val="20"/>
          <w:szCs w:val="20"/>
        </w:rPr>
        <w:t>kupující</w:t>
      </w:r>
      <w:r w:rsidRPr="000A77B4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 w:rsidR="00A110E1">
        <w:rPr>
          <w:rFonts w:ascii="Tahoma" w:hAnsi="Tahoma" w:cs="Tahoma"/>
          <w:sz w:val="20"/>
          <w:szCs w:val="20"/>
        </w:rPr>
        <w:t>prodávajícímu</w:t>
      </w:r>
      <w:r w:rsidRPr="000A77B4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10961388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="00B52C73">
        <w:rPr>
          <w:rFonts w:ascii="Tahoma" w:hAnsi="Tahoma" w:cs="Tahoma"/>
          <w:sz w:val="20"/>
          <w:szCs w:val="20"/>
        </w:rPr>
        <w:t xml:space="preserve"> 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08A54205" w14:textId="77777777" w:rsidR="00C82140" w:rsidRPr="00E8258F" w:rsidRDefault="00C82140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CE96275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574DCB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67A9FCDB" w14:textId="08757001" w:rsidR="00574DCB" w:rsidRPr="00574DCB" w:rsidRDefault="00574DCB" w:rsidP="00574D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nastoupit k odstranění oznámené vady zboží nejpozději do </w:t>
      </w:r>
      <w:r>
        <w:rPr>
          <w:rFonts w:ascii="Tahoma" w:hAnsi="Tahoma" w:cs="Tahoma"/>
          <w:sz w:val="20"/>
          <w:szCs w:val="20"/>
        </w:rPr>
        <w:t>14 kalendářních</w:t>
      </w:r>
      <w:r w:rsidRPr="00574DCB">
        <w:rPr>
          <w:rFonts w:ascii="Tahoma" w:hAnsi="Tahoma" w:cs="Tahoma"/>
          <w:sz w:val="20"/>
          <w:szCs w:val="20"/>
        </w:rPr>
        <w:t xml:space="preserve"> dnů od jejího nahlášení. </w:t>
      </w:r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odstranit či překlenout oznámenou vadu zboží nejpozději do </w:t>
      </w:r>
      <w:r>
        <w:rPr>
          <w:rFonts w:ascii="Tahoma" w:hAnsi="Tahoma" w:cs="Tahoma"/>
          <w:sz w:val="20"/>
          <w:szCs w:val="20"/>
        </w:rPr>
        <w:t>14</w:t>
      </w:r>
      <w:r w:rsidRPr="00574D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kalendářních</w:t>
      </w:r>
      <w:r w:rsidRPr="00574DCB">
        <w:rPr>
          <w:rFonts w:ascii="Tahoma" w:hAnsi="Tahoma" w:cs="Tahoma"/>
          <w:sz w:val="20"/>
          <w:szCs w:val="20"/>
        </w:rPr>
        <w:t xml:space="preserve"> dnů od nástupu na odstranění vady dle předchozí věty. V případě překlenutí zjištěné vady zboží bude tato vada </w:t>
      </w:r>
      <w:r>
        <w:rPr>
          <w:rFonts w:ascii="Tahoma" w:hAnsi="Tahoma" w:cs="Tahoma"/>
          <w:sz w:val="20"/>
          <w:szCs w:val="20"/>
        </w:rPr>
        <w:t>zboží</w:t>
      </w:r>
      <w:r w:rsidRPr="00574DCB">
        <w:rPr>
          <w:rFonts w:ascii="Tahoma" w:hAnsi="Tahoma" w:cs="Tahoma"/>
          <w:sz w:val="20"/>
          <w:szCs w:val="20"/>
        </w:rPr>
        <w:t xml:space="preserve"> odstraněna do </w:t>
      </w:r>
      <w:r>
        <w:rPr>
          <w:rFonts w:ascii="Tahoma" w:hAnsi="Tahoma" w:cs="Tahoma"/>
          <w:sz w:val="20"/>
          <w:szCs w:val="20"/>
        </w:rPr>
        <w:t>6</w:t>
      </w:r>
      <w:r w:rsidRPr="00574DCB">
        <w:rPr>
          <w:rFonts w:ascii="Tahoma" w:hAnsi="Tahoma" w:cs="Tahoma"/>
          <w:sz w:val="20"/>
          <w:szCs w:val="20"/>
        </w:rPr>
        <w:t xml:space="preserve">0 kalendářních dnů od jejího nahlášení. Za překlenutí vady zboží se pro účely této smlouvy má zabezpečení vady zboží tak, aby </w:t>
      </w:r>
      <w:r>
        <w:rPr>
          <w:rFonts w:ascii="Tahoma" w:hAnsi="Tahoma" w:cs="Tahoma"/>
          <w:sz w:val="20"/>
          <w:szCs w:val="20"/>
        </w:rPr>
        <w:t>kupující</w:t>
      </w:r>
      <w:r w:rsidRPr="00574DCB">
        <w:rPr>
          <w:rFonts w:ascii="Tahoma" w:hAnsi="Tahoma" w:cs="Tahoma"/>
          <w:sz w:val="20"/>
          <w:szCs w:val="20"/>
        </w:rPr>
        <w:t xml:space="preserve"> mohl </w:t>
      </w:r>
      <w:r>
        <w:rPr>
          <w:rFonts w:ascii="Tahoma" w:hAnsi="Tahoma" w:cs="Tahoma"/>
          <w:sz w:val="20"/>
          <w:szCs w:val="20"/>
        </w:rPr>
        <w:t>provádět činnosti</w:t>
      </w:r>
      <w:r w:rsidRPr="00574DCB">
        <w:rPr>
          <w:rFonts w:ascii="Tahoma" w:hAnsi="Tahoma" w:cs="Tahoma"/>
          <w:sz w:val="20"/>
          <w:szCs w:val="20"/>
        </w:rPr>
        <w:t>, ke kterým zboží slouží, a to např. zapůjčením bezvadného zařízení po dobu opravy.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23E7DC2D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A110E1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52AE848E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574DCB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lastRenderedPageBreak/>
        <w:t>Porušením smluvní povinnosti podstatným způsobem (dle ustanovení § 1977 občanského zákoníku se pro účely této smlouvy rozumí zejména tyto porušení:</w:t>
      </w:r>
    </w:p>
    <w:p w14:paraId="03CC6A23" w14:textId="5E96984E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B52C73">
        <w:rPr>
          <w:rFonts w:ascii="Tahoma" w:hAnsi="Tahoma" w:cs="Tahoma"/>
          <w:sz w:val="20"/>
          <w:szCs w:val="20"/>
          <w:lang w:eastAsia="en-US"/>
        </w:rPr>
        <w:t>6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77777777" w:rsidR="00DC6BBC" w:rsidRPr="00E8258F" w:rsidRDefault="00E228E7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VIII.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1CC3DE7B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Ostrava, Fakulta strojní</w:t>
            </w:r>
          </w:p>
          <w:p w14:paraId="172EF60F" w14:textId="18AF258A" w:rsidR="00F834DF" w:rsidRDefault="00841BFB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41BFB">
              <w:rPr>
                <w:rFonts w:ascii="Tahoma" w:hAnsi="Tahoma" w:cs="Tahoma"/>
                <w:bCs/>
                <w:sz w:val="20"/>
                <w:szCs w:val="20"/>
              </w:rPr>
              <w:t>prof. Ing. Robert Čep, Ph.D.</w:t>
            </w:r>
          </w:p>
          <w:p w14:paraId="7DC53942" w14:textId="6594C3F8" w:rsidR="00772B56" w:rsidRPr="00E8258F" w:rsidRDefault="00F834DF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34DF">
              <w:rPr>
                <w:rFonts w:ascii="Tahoma" w:hAnsi="Tahoma" w:cs="Tahoma"/>
                <w:bCs/>
                <w:sz w:val="20"/>
                <w:szCs w:val="20"/>
              </w:rPr>
              <w:t>děkan Fakulty strojní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213F3B21" w14:textId="77777777" w:rsidR="0048010E" w:rsidRDefault="0048010E" w:rsidP="0048010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6009A5C1" w14:textId="32DC6912" w:rsidR="0001775F" w:rsidRPr="00B15601" w:rsidRDefault="0001775F" w:rsidP="0001775F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="002C56EE" w:rsidRPr="002C56EE">
        <w:rPr>
          <w:rFonts w:ascii="Tahoma" w:hAnsi="Tahoma" w:cs="Tahoma"/>
          <w:b/>
          <w:szCs w:val="20"/>
        </w:rPr>
        <w:t>Zařízení pro mobilní pracoviště bezkontaktních metod měření rozměrů a tvarů</w:t>
      </w:r>
      <w:r w:rsidRPr="00B15601">
        <w:rPr>
          <w:rFonts w:ascii="Tahoma" w:hAnsi="Tahoma" w:cs="Tahoma"/>
          <w:b/>
          <w:szCs w:val="20"/>
        </w:rPr>
        <w:t>“ část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I</w:t>
      </w:r>
      <w:r>
        <w:rPr>
          <w:rFonts w:ascii="Tahoma" w:hAnsi="Tahoma" w:cs="Tahoma"/>
          <w:b/>
          <w:szCs w:val="20"/>
        </w:rPr>
        <w:t>I</w:t>
      </w:r>
      <w:r w:rsidRPr="00B15601">
        <w:rPr>
          <w:rFonts w:ascii="Tahoma" w:hAnsi="Tahoma" w:cs="Tahoma"/>
          <w:b/>
          <w:szCs w:val="20"/>
        </w:rPr>
        <w:t>.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„</w:t>
      </w:r>
      <w:r w:rsidRPr="0005298E">
        <w:rPr>
          <w:rFonts w:ascii="Tahoma" w:hAnsi="Tahoma" w:cs="Tahoma"/>
          <w:b/>
          <w:szCs w:val="20"/>
        </w:rPr>
        <w:t>Laserové měřicí přístroje</w:t>
      </w:r>
      <w:r w:rsidRPr="00B15601">
        <w:rPr>
          <w:rFonts w:ascii="Tahoma" w:hAnsi="Tahoma" w:cs="Tahoma"/>
          <w:b/>
          <w:szCs w:val="20"/>
        </w:rPr>
        <w:t>“</w:t>
      </w:r>
    </w:p>
    <w:p w14:paraId="50E51EF2" w14:textId="77777777" w:rsidR="0001775F" w:rsidRDefault="0001775F" w:rsidP="0001775F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AC6F7A">
        <w:rPr>
          <w:rFonts w:ascii="Tahoma" w:hAnsi="Tahoma" w:cs="Tahoma"/>
          <w:b/>
          <w:szCs w:val="20"/>
        </w:rPr>
        <w:t>Laserové měřicí přístroje</w:t>
      </w:r>
    </w:p>
    <w:p w14:paraId="00E10E3F" w14:textId="77777777" w:rsidR="0001775F" w:rsidRDefault="0001775F" w:rsidP="0001775F">
      <w:pPr>
        <w:spacing w:before="12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Přístroje </w:t>
      </w:r>
      <w:r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529"/>
        <w:gridCol w:w="3260"/>
      </w:tblGrid>
      <w:tr w:rsidR="0001775F" w:rsidRPr="00AC6F7A" w14:paraId="1C133AD1" w14:textId="77777777" w:rsidTr="0001775F">
        <w:trPr>
          <w:cantSplit/>
          <w:trHeight w:val="123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  <w:hideMark/>
          </w:tcPr>
          <w:p w14:paraId="54EC42AE" w14:textId="77777777" w:rsidR="0001775F" w:rsidRPr="00AC6F7A" w:rsidRDefault="0001775F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  <w:hideMark/>
          </w:tcPr>
          <w:p w14:paraId="06C6E51B" w14:textId="77777777" w:rsidR="0001775F" w:rsidRPr="00AC6F7A" w:rsidRDefault="0001775F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Množství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4FFE39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Označení zboží/popis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D89A22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Požadované hodnoty = musí být alespoň splněno!</w:t>
            </w:r>
          </w:p>
        </w:tc>
      </w:tr>
      <w:tr w:rsidR="0001775F" w:rsidRPr="00AC6F7A" w14:paraId="577635A9" w14:textId="02C0FADA" w:rsidTr="0001775F">
        <w:trPr>
          <w:trHeight w:val="4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8C433E0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A06EAF3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70263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Laserový senzor měření rychlosti a vzdálenosti na principu Dopplerové interference</w:t>
            </w:r>
          </w:p>
        </w:tc>
      </w:tr>
      <w:tr w:rsidR="0001775F" w:rsidRPr="00AC6F7A" w14:paraId="275D5329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8B01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93CF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C25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51D" w14:textId="7FC61803" w:rsidR="0001775F" w:rsidRPr="00AC6F7A" w:rsidRDefault="0001775F" w:rsidP="000177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01775F" w:rsidRPr="00AC6F7A" w14:paraId="40D4981E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0F08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7627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49C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C24" w14:textId="6D942080" w:rsidR="0001775F" w:rsidRPr="00AC6F7A" w:rsidRDefault="0001775F" w:rsidP="000177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01775F" w:rsidRPr="00AC6F7A" w14:paraId="51AEF9BF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C972F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A93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4CDD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Rozsah měření rychlosti [m/s], nejméně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A8BA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C6F7A">
              <w:rPr>
                <w:rFonts w:ascii="Tahoma" w:hAnsi="Tahoma" w:cs="Tahoma"/>
                <w:sz w:val="20"/>
                <w:szCs w:val="20"/>
              </w:rPr>
              <w:t>0,02..</w:t>
            </w:r>
            <w:proofErr w:type="gramEnd"/>
            <w:r w:rsidRPr="00AC6F7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01775F" w:rsidRPr="00AC6F7A" w14:paraId="381DC0E6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FBA3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8198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74D7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Přesnost měření rychlosti [% z rozsahu]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4707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 0,07</w:t>
            </w:r>
          </w:p>
        </w:tc>
      </w:tr>
      <w:tr w:rsidR="0001775F" w:rsidRPr="00AC6F7A" w14:paraId="5E1AD88C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1151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417E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5C48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Přesnost měření vzdálenosti [% z rozsahu]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2A5E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C6F7A">
              <w:rPr>
                <w:rFonts w:ascii="Tahoma" w:hAnsi="Tahoma" w:cs="Tahoma"/>
                <w:sz w:val="20"/>
                <w:szCs w:val="20"/>
              </w:rPr>
              <w:t>±0,05</w:t>
            </w:r>
          </w:p>
        </w:tc>
      </w:tr>
      <w:tr w:rsidR="0001775F" w:rsidRPr="00AC6F7A" w14:paraId="1BCEA49E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254CA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BB2B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89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 xml:space="preserve">Komunikační rozhraní </w:t>
            </w: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8F6900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6B55508F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E0668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8A8C9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B2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Software pro konfiguraci a měření prostřednictvím PC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3536B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73408665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763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BDA1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BF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Minimální ochrana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5EC2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IP67</w:t>
            </w:r>
          </w:p>
        </w:tc>
      </w:tr>
      <w:tr w:rsidR="0001775F" w:rsidRPr="00AC6F7A" w14:paraId="278A5120" w14:textId="69A09981" w:rsidTr="0001775F">
        <w:trPr>
          <w:trHeight w:val="4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70BC97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8FFB5E9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4F2894E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Binokulární laserový triangulační dálkoměr</w:t>
            </w:r>
          </w:p>
        </w:tc>
      </w:tr>
      <w:tr w:rsidR="0001775F" w:rsidRPr="00AC6F7A" w14:paraId="24AD0067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FFA9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B15D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4C0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53" w14:textId="05276C92" w:rsidR="0001775F" w:rsidRPr="00AC6F7A" w:rsidRDefault="0001775F" w:rsidP="000177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01775F" w:rsidRPr="00AC6F7A" w14:paraId="5604A31C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42AA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B4608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550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2907" w14:textId="547CCE44" w:rsidR="0001775F" w:rsidRPr="00AC6F7A" w:rsidRDefault="0001775F" w:rsidP="000177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01775F" w:rsidRPr="00AC6F7A" w14:paraId="5C51645D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3F58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C21A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1C9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Měřicí rozsah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088BA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5 mm</w:t>
            </w:r>
          </w:p>
        </w:tc>
      </w:tr>
      <w:tr w:rsidR="0001775F" w:rsidRPr="00AC6F7A" w14:paraId="375AFE25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3C0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604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DF1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Rozlišení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E020C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C6F7A">
              <w:rPr>
                <w:rFonts w:ascii="Tahoma" w:hAnsi="Tahoma" w:cs="Tahoma"/>
                <w:sz w:val="20"/>
                <w:szCs w:val="20"/>
              </w:rPr>
              <w:t>0,001 mm</w:t>
            </w:r>
          </w:p>
        </w:tc>
      </w:tr>
      <w:tr w:rsidR="0001775F" w:rsidRPr="00AC6F7A" w14:paraId="7C907249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4AB95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3A4F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D7F7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Vzorkovací frekvence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E14D2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 xml:space="preserve">&gt; </w:t>
            </w:r>
            <w:r w:rsidRPr="00AC6F7A">
              <w:rPr>
                <w:rFonts w:ascii="Tahoma" w:hAnsi="Tahoma" w:cs="Tahoma"/>
                <w:sz w:val="20"/>
                <w:szCs w:val="20"/>
              </w:rPr>
              <w:t>5 kHz</w:t>
            </w:r>
          </w:p>
        </w:tc>
      </w:tr>
      <w:tr w:rsidR="0001775F" w:rsidRPr="00AC6F7A" w14:paraId="63B9E2FD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430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E5D1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878D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Linearita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EF32F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≤ ±0,003 mm</w:t>
            </w:r>
          </w:p>
        </w:tc>
      </w:tr>
      <w:tr w:rsidR="0001775F" w:rsidRPr="00AC6F7A" w14:paraId="0A052FA4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5E6D0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4B0C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7579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Laserový paprsek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D58C1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Viditelný, modrý</w:t>
            </w:r>
          </w:p>
        </w:tc>
      </w:tr>
      <w:tr w:rsidR="0001775F" w:rsidRPr="00AC6F7A" w14:paraId="54429BF7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15A0F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89CC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97DD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Možnost spouštění měření přes synchronizační signál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8EDDF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49770173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339E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E28E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373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 xml:space="preserve">Rozptyl provozní teploty minimálně 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>[°C]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99D82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10-40</w:t>
            </w:r>
          </w:p>
        </w:tc>
      </w:tr>
      <w:tr w:rsidR="0001775F" w:rsidRPr="00AC6F7A" w14:paraId="440566A2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F70E4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ACC0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D84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Stupeň krytí (nejméně)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793E5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IP64</w:t>
            </w:r>
          </w:p>
        </w:tc>
      </w:tr>
      <w:tr w:rsidR="0001775F" w:rsidRPr="00AC6F7A" w14:paraId="59546641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F2D7E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1100A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4499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AC6F7A"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69E3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63BE76A7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3B544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A98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5FE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431A7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219BBEEF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AD12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12B3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19B8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Produktový list česky, nebo anglicky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886A1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52566F2D" w14:textId="6518AFD4" w:rsidTr="0001775F">
        <w:trPr>
          <w:trHeight w:val="3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EF8934A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1376E20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6889F5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6F7A">
              <w:rPr>
                <w:rFonts w:ascii="Tahoma" w:hAnsi="Tahoma" w:cs="Tahoma"/>
                <w:b/>
                <w:bCs/>
                <w:sz w:val="20"/>
                <w:szCs w:val="20"/>
              </w:rPr>
              <w:t>Binokulární laserový triangulační dálkoměr s dvěma rozsahy</w:t>
            </w:r>
          </w:p>
        </w:tc>
      </w:tr>
      <w:tr w:rsidR="0001775F" w:rsidRPr="00AC6F7A" w14:paraId="3684EEE6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FA9F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8778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B09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BDB5" w14:textId="60DCC415" w:rsidR="0001775F" w:rsidRPr="00AC6F7A" w:rsidRDefault="0001775F" w:rsidP="000177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01775F" w:rsidRPr="00AC6F7A" w14:paraId="7ACB350B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C72C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9FC1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6E81" w14:textId="77777777" w:rsidR="0001775F" w:rsidRPr="00AC6F7A" w:rsidRDefault="0001775F" w:rsidP="000177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8E51F" w14:textId="105B3319" w:rsidR="0001775F" w:rsidRPr="00AC6F7A" w:rsidRDefault="0001775F" w:rsidP="000177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01775F" w:rsidRPr="00AC6F7A" w14:paraId="714DBE9C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F0CA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50B9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8CCA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Měřicí rozsah 1 min.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1B70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10 mm</w:t>
            </w:r>
          </w:p>
        </w:tc>
      </w:tr>
      <w:tr w:rsidR="0001775F" w:rsidRPr="00AC6F7A" w14:paraId="4B085ADB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62E7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180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8649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Rozlišení rozsahu 1 (stejná nebo lepší než)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C7729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0,001 mm</w:t>
            </w:r>
          </w:p>
        </w:tc>
      </w:tr>
      <w:tr w:rsidR="0001775F" w:rsidRPr="00AC6F7A" w14:paraId="07FA8D4E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27228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21FE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C3A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Linearita rozsahu 1 (stejná nebo lepší než)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586EA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±0,005 mm</w:t>
            </w:r>
          </w:p>
        </w:tc>
      </w:tr>
      <w:tr w:rsidR="0001775F" w:rsidRPr="00AC6F7A" w14:paraId="50D659C9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B9266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C1B37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BD6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Měřicí rozsah 2 max.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A3F7B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2 mm</w:t>
            </w:r>
          </w:p>
        </w:tc>
      </w:tr>
      <w:tr w:rsidR="0001775F" w:rsidRPr="00AC6F7A" w14:paraId="24F5C971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4C5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1452D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D4C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Rozlišení rozsahu 2 (stejná nebo lepší než)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B5CEA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0,0002 mm</w:t>
            </w:r>
          </w:p>
        </w:tc>
      </w:tr>
      <w:tr w:rsidR="0001775F" w:rsidRPr="00AC6F7A" w14:paraId="62F67694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DAFE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2A93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4A1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Linearita rozsahu 2 (stejná nebo lepší než)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B0FF2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±0,001 mm</w:t>
            </w:r>
          </w:p>
        </w:tc>
      </w:tr>
      <w:tr w:rsidR="0001775F" w:rsidRPr="00AC6F7A" w14:paraId="373CF2B4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059A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A5C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E1E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Vzorkovací frekvence min. (stejná nebo lepší než)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9635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5 kHz</w:t>
            </w:r>
          </w:p>
        </w:tc>
      </w:tr>
      <w:tr w:rsidR="0001775F" w:rsidRPr="00AC6F7A" w14:paraId="0D98B68A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A614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1A11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DEFB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Laserový paprsek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E3719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Viditelný, modrý</w:t>
            </w:r>
          </w:p>
        </w:tc>
      </w:tr>
      <w:tr w:rsidR="0001775F" w:rsidRPr="00AC6F7A" w14:paraId="445676D8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8348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2F0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2F00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Možnost spouštění měření přes synchronizační signál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BF396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6BE7E971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A060C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E270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A1A1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 xml:space="preserve">Rozptyl provozní teploty minimálně </w:t>
            </w:r>
            <w:r w:rsidRPr="00AC6F7A">
              <w:rPr>
                <w:rFonts w:ascii="Tahoma" w:hAnsi="Tahoma" w:cs="Tahoma"/>
                <w:sz w:val="20"/>
                <w:szCs w:val="20"/>
                <w:lang w:val="en-US"/>
              </w:rPr>
              <w:t>[°C]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A6724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10-40</w:t>
            </w:r>
          </w:p>
        </w:tc>
      </w:tr>
      <w:tr w:rsidR="0001775F" w:rsidRPr="00AC6F7A" w14:paraId="39A7E633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8485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FAE85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F3BD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  <w:r w:rsidRPr="00AC6F7A"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proofErr w:type="spellStart"/>
            <w:r w:rsidRPr="00AC6F7A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882E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01775F" w:rsidRPr="00AC6F7A" w14:paraId="575C7854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F50F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4C0A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4C2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Stupeň krytí (nejméně)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15A3F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IP64</w:t>
            </w:r>
          </w:p>
        </w:tc>
      </w:tr>
      <w:tr w:rsidR="0001775F" w:rsidRPr="00AC6F7A" w14:paraId="09A0F9BF" w14:textId="77777777" w:rsidTr="0001775F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04C3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62F1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7093" w14:textId="77777777" w:rsidR="0001775F" w:rsidRPr="00AC6F7A" w:rsidRDefault="0001775F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B73A6" w14:textId="77777777" w:rsidR="0001775F" w:rsidRPr="00AC6F7A" w:rsidRDefault="0001775F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6F7A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19159F3E" w14:textId="77777777" w:rsidR="008E2772" w:rsidRDefault="008E2772" w:rsidP="0001775F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sectPr w:rsidR="008E2772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0F04" w14:textId="77777777" w:rsidR="00AF5B53" w:rsidRDefault="00AF5B53" w:rsidP="008A5E9A">
      <w:pPr>
        <w:spacing w:after="0" w:line="240" w:lineRule="auto"/>
      </w:pPr>
      <w:r>
        <w:separator/>
      </w:r>
    </w:p>
  </w:endnote>
  <w:endnote w:type="continuationSeparator" w:id="0">
    <w:p w14:paraId="18DF28E0" w14:textId="77777777" w:rsidR="00AF5B53" w:rsidRDefault="00AF5B53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7B1EE6BD" w:rsidR="00BC04BC" w:rsidRDefault="00BC04BC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BC04BC" w:rsidRDefault="00BC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A46B" w14:textId="77777777" w:rsidR="00AF5B53" w:rsidRDefault="00AF5B53" w:rsidP="008A5E9A">
      <w:pPr>
        <w:spacing w:after="0" w:line="240" w:lineRule="auto"/>
      </w:pPr>
      <w:r>
        <w:separator/>
      </w:r>
    </w:p>
  </w:footnote>
  <w:footnote w:type="continuationSeparator" w:id="0">
    <w:p w14:paraId="77D50030" w14:textId="77777777" w:rsidR="00AF5B53" w:rsidRDefault="00AF5B53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BC04BC" w:rsidRDefault="00BC04BC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BC04BC" w:rsidRDefault="00BC04BC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F93D5C">
      <w:fldChar w:fldCharType="begin"/>
    </w:r>
    <w:r w:rsidR="00F93D5C">
      <w:instrText xml:space="preserve"> INCLUDEPICTURE  "http://www.msmt.cz/uploads/OP_VVV/Pravidla_pro_publicitu/logolinky/logolink_MSMT_VVV_hor_barva_cz.jpg" \* MERGEFORMATINET </w:instrText>
    </w:r>
    <w:r w:rsidR="00F93D5C">
      <w:fldChar w:fldCharType="separate"/>
    </w:r>
    <w:r w:rsidR="000D0027">
      <w:fldChar w:fldCharType="begin"/>
    </w:r>
    <w:r w:rsidR="000D0027">
      <w:instrText xml:space="preserve"> INCLUDEPICTURE  "http://www.msmt.cz/uploads/OP_VVV/Pravidla_pro_publicitu/logolinky/logolink_MSMT_VVV_hor_barva_cz.jpg" \* MERGEFORMATINET </w:instrText>
    </w:r>
    <w:r w:rsidR="000D0027">
      <w:fldChar w:fldCharType="separate"/>
    </w:r>
    <w:r w:rsidR="00465806">
      <w:fldChar w:fldCharType="begin"/>
    </w:r>
    <w:r w:rsidR="00465806">
      <w:instrText xml:space="preserve"> INCLUDEPICTURE  "http://www.msmt.cz/uploads/OP_VVV/Pravidla_pro_publicitu/logolinky/logolink_MSMT_VVV_hor_barva_cz.jpg" \* MERGEFORMATINET </w:instrText>
    </w:r>
    <w:r w:rsidR="00465806">
      <w:fldChar w:fldCharType="separate"/>
    </w:r>
    <w:r w:rsidR="00892B2F">
      <w:fldChar w:fldCharType="begin"/>
    </w:r>
    <w:r w:rsidR="00892B2F">
      <w:instrText xml:space="preserve"> INCLUDEPICTURE  "http://www.msmt.cz/uploads/OP_VVV/Pravidla_pro_publicitu/logolinky/logolink_MSMT_VVV_hor_barva_cz.jpg" \* MERGEFORMATINET </w:instrText>
    </w:r>
    <w:r w:rsidR="00892B2F">
      <w:fldChar w:fldCharType="separate"/>
    </w:r>
    <w:r w:rsidR="00FA2077">
      <w:fldChar w:fldCharType="begin"/>
    </w:r>
    <w:r w:rsidR="00FA2077">
      <w:instrText xml:space="preserve"> INCLUDEPICTURE  "http://www.msmt.cz/uploads/OP_VVV/Pravidla_pro_publicitu/logolinky/logolink_MSMT_VVV_hor_barva_cz.jpg" \* MERGEFORMATINET </w:instrText>
    </w:r>
    <w:r w:rsidR="00FA2077">
      <w:fldChar w:fldCharType="separate"/>
    </w:r>
    <w:r w:rsidR="007B1944">
      <w:fldChar w:fldCharType="begin"/>
    </w:r>
    <w:r w:rsidR="007B1944">
      <w:instrText xml:space="preserve"> INCLUDEPICTURE  "http://www.msmt.cz/uploads/OP_VVV/Pravidla_pro_publicitu/logolinky/logolink_MSMT_VVV_hor_barva_cz.jpg" \* MERGEFORMATINET </w:instrText>
    </w:r>
    <w:r w:rsidR="007B1944">
      <w:fldChar w:fldCharType="separate"/>
    </w:r>
    <w:r w:rsidR="00E849EC">
      <w:fldChar w:fldCharType="begin"/>
    </w:r>
    <w:r w:rsidR="00E849EC">
      <w:instrText xml:space="preserve"> INCLUDEPICTURE  "http://www.msmt.cz/uploads/OP_VVV/Pravidla_pro_publicitu/logolinky/logolink_MSMT_VVV_hor_barva_cz.jpg" \* MERGEFORMATINET </w:instrText>
    </w:r>
    <w:r w:rsidR="00E849EC">
      <w:fldChar w:fldCharType="separate"/>
    </w:r>
    <w:r w:rsidR="00983F75">
      <w:fldChar w:fldCharType="begin"/>
    </w:r>
    <w:r w:rsidR="00983F75">
      <w:instrText xml:space="preserve"> INCLUDEPICTURE  "http://www.msmt.cz/uploads/OP_VVV/Pravidla_pro_publicitu/logolinky/logolink_MSMT_VVV_hor_barva_cz.jpg" \* MERGEFORMATINET </w:instrText>
    </w:r>
    <w:r w:rsidR="00983F75">
      <w:fldChar w:fldCharType="separate"/>
    </w:r>
    <w:r w:rsidR="004F2792">
      <w:fldChar w:fldCharType="begin"/>
    </w:r>
    <w:r w:rsidR="004F2792">
      <w:instrText xml:space="preserve"> INCLUDEPICTURE  "http://www.msmt.cz/uploads/OP_VVV/Pravidla_pro_publicitu/logolinky/logolink_MSMT_VVV_hor_barva_cz.jpg" \* MERGEFORMATINET </w:instrText>
    </w:r>
    <w:r w:rsidR="004F2792">
      <w:fldChar w:fldCharType="separate"/>
    </w:r>
    <w:r w:rsidR="005D7129">
      <w:fldChar w:fldCharType="begin"/>
    </w:r>
    <w:r w:rsidR="005D7129">
      <w:instrText xml:space="preserve"> INCLUDEPICTURE  "http://www.msmt.cz/uploads/OP_VVV/Pravidla_pro_publicitu/logolinky/logolink_MSMT_VVV_hor_barva_cz.jpg" \* MERGEFORMATINET </w:instrText>
    </w:r>
    <w:r w:rsidR="005D7129">
      <w:fldChar w:fldCharType="separate"/>
    </w:r>
    <w:r w:rsidR="00394C37">
      <w:fldChar w:fldCharType="begin"/>
    </w:r>
    <w:r w:rsidR="00394C37">
      <w:instrText xml:space="preserve"> INCLUDEPICTURE  "http://www.msmt.cz/uploads/OP_VVV/Pravidla_pro_publicitu/logolinky/logolink_MSMT_VVV_hor_barva_cz.jpg" \* MERGEFORMATINET </w:instrText>
    </w:r>
    <w:r w:rsidR="00394C37">
      <w:fldChar w:fldCharType="separate"/>
    </w:r>
    <w:r w:rsidR="00F17BCF">
      <w:fldChar w:fldCharType="begin"/>
    </w:r>
    <w:r w:rsidR="00F17BCF">
      <w:instrText xml:space="preserve"> INCLUDEPICTURE  "http://www.msmt.cz/uploads/OP_VVV/Pravidla_pro_publicitu/logolinky/logolink_MSMT_VVV_hor_barva_cz.jpg" \* MERGEFORMATINET </w:instrText>
    </w:r>
    <w:r w:rsidR="00F17BCF">
      <w:fldChar w:fldCharType="separate"/>
    </w:r>
    <w:r w:rsidR="00AB2CD8">
      <w:fldChar w:fldCharType="begin"/>
    </w:r>
    <w:r w:rsidR="00AB2CD8">
      <w:instrText xml:space="preserve"> INCLUDEPICTURE  "http://www.msmt.cz/uploads/OP_VVV/Pravidla_pro_publicitu/logolinky/logolink_MSMT_VVV_hor_barva_cz.jpg" \* MERGEFORMATINET </w:instrText>
    </w:r>
    <w:r w:rsidR="00AB2CD8">
      <w:fldChar w:fldCharType="separate"/>
    </w:r>
    <w:r w:rsidR="00AF5B53">
      <w:fldChar w:fldCharType="begin"/>
    </w:r>
    <w:r w:rsidR="00AF5B53">
      <w:instrText xml:space="preserve"> </w:instrText>
    </w:r>
    <w:r w:rsidR="00AF5B53">
      <w:instrText>INCLUDEPICTURE  "http://www.msmt.cz/uploads/OP_VVV/Prav</w:instrText>
    </w:r>
    <w:r w:rsidR="00AF5B53">
      <w:instrText>idla_pro_publicitu/logolinky/logolink_MSMT_VVV_hor_barva_cz.jpg" \* MERGEFORMATINET</w:instrText>
    </w:r>
    <w:r w:rsidR="00AF5B53">
      <w:instrText xml:space="preserve"> </w:instrText>
    </w:r>
    <w:r w:rsidR="00AF5B53">
      <w:fldChar w:fldCharType="separate"/>
    </w:r>
    <w:r w:rsidR="00F92B0A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65pt;height:1in">
          <v:imagedata r:id="rId1" r:href="rId2"/>
        </v:shape>
      </w:pict>
    </w:r>
    <w:r w:rsidR="00AF5B53">
      <w:fldChar w:fldCharType="end"/>
    </w:r>
    <w:r w:rsidR="00AB2CD8">
      <w:fldChar w:fldCharType="end"/>
    </w:r>
    <w:r w:rsidR="00F17BCF">
      <w:fldChar w:fldCharType="end"/>
    </w:r>
    <w:r w:rsidR="00394C37">
      <w:fldChar w:fldCharType="end"/>
    </w:r>
    <w:r w:rsidR="005D7129">
      <w:fldChar w:fldCharType="end"/>
    </w:r>
    <w:r w:rsidR="004F2792">
      <w:fldChar w:fldCharType="end"/>
    </w:r>
    <w:r w:rsidR="00983F75">
      <w:fldChar w:fldCharType="end"/>
    </w:r>
    <w:r w:rsidR="00E849EC">
      <w:fldChar w:fldCharType="end"/>
    </w:r>
    <w:r w:rsidR="007B1944">
      <w:fldChar w:fldCharType="end"/>
    </w:r>
    <w:r w:rsidR="00FA2077">
      <w:fldChar w:fldCharType="end"/>
    </w:r>
    <w:r w:rsidR="00892B2F">
      <w:fldChar w:fldCharType="end"/>
    </w:r>
    <w:r w:rsidR="00465806">
      <w:fldChar w:fldCharType="end"/>
    </w:r>
    <w:r w:rsidR="000D0027">
      <w:fldChar w:fldCharType="end"/>
    </w:r>
    <w:r w:rsidR="00F93D5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BC04BC" w:rsidRDefault="00BC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77D7C"/>
    <w:multiLevelType w:val="hybridMultilevel"/>
    <w:tmpl w:val="122A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5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23"/>
  </w:num>
  <w:num w:numId="13">
    <w:abstractNumId w:val="7"/>
  </w:num>
  <w:num w:numId="14">
    <w:abstractNumId w:val="20"/>
  </w:num>
  <w:num w:numId="15">
    <w:abstractNumId w:val="19"/>
  </w:num>
  <w:num w:numId="16">
    <w:abstractNumId w:val="27"/>
  </w:num>
  <w:num w:numId="17">
    <w:abstractNumId w:val="11"/>
  </w:num>
  <w:num w:numId="18">
    <w:abstractNumId w:val="3"/>
  </w:num>
  <w:num w:numId="19">
    <w:abstractNumId w:val="16"/>
  </w:num>
  <w:num w:numId="20">
    <w:abstractNumId w:val="26"/>
  </w:num>
  <w:num w:numId="21">
    <w:abstractNumId w:val="25"/>
  </w:num>
  <w:num w:numId="22">
    <w:abstractNumId w:val="14"/>
  </w:num>
  <w:num w:numId="23">
    <w:abstractNumId w:val="8"/>
  </w:num>
  <w:num w:numId="24">
    <w:abstractNumId w:val="1"/>
  </w:num>
  <w:num w:numId="25">
    <w:abstractNumId w:val="21"/>
  </w:num>
  <w:num w:numId="26">
    <w:abstractNumId w:val="29"/>
  </w:num>
  <w:num w:numId="27">
    <w:abstractNumId w:val="6"/>
  </w:num>
  <w:num w:numId="28">
    <w:abstractNumId w:val="4"/>
  </w:num>
  <w:num w:numId="29">
    <w:abstractNumId w:val="28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1775F"/>
    <w:rsid w:val="00033F2D"/>
    <w:rsid w:val="00062D65"/>
    <w:rsid w:val="00067E5F"/>
    <w:rsid w:val="0007427B"/>
    <w:rsid w:val="00087F9A"/>
    <w:rsid w:val="000A4357"/>
    <w:rsid w:val="000A77B4"/>
    <w:rsid w:val="000C27CA"/>
    <w:rsid w:val="000C5704"/>
    <w:rsid w:val="000D0027"/>
    <w:rsid w:val="000F5FE7"/>
    <w:rsid w:val="00103D7C"/>
    <w:rsid w:val="0010552E"/>
    <w:rsid w:val="0011266D"/>
    <w:rsid w:val="00170312"/>
    <w:rsid w:val="001A09BA"/>
    <w:rsid w:val="001C658A"/>
    <w:rsid w:val="001D0984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80A27"/>
    <w:rsid w:val="00296C98"/>
    <w:rsid w:val="00297919"/>
    <w:rsid w:val="002A261F"/>
    <w:rsid w:val="002C56EE"/>
    <w:rsid w:val="002D4D54"/>
    <w:rsid w:val="002E09BE"/>
    <w:rsid w:val="0031363B"/>
    <w:rsid w:val="00326003"/>
    <w:rsid w:val="00327328"/>
    <w:rsid w:val="00341136"/>
    <w:rsid w:val="00343D26"/>
    <w:rsid w:val="003751ED"/>
    <w:rsid w:val="003756B1"/>
    <w:rsid w:val="0038601E"/>
    <w:rsid w:val="00393121"/>
    <w:rsid w:val="00394C37"/>
    <w:rsid w:val="003A1707"/>
    <w:rsid w:val="003A51AB"/>
    <w:rsid w:val="003A732D"/>
    <w:rsid w:val="003B219B"/>
    <w:rsid w:val="003E3026"/>
    <w:rsid w:val="003E30D0"/>
    <w:rsid w:val="003F4F5A"/>
    <w:rsid w:val="0043200F"/>
    <w:rsid w:val="004321A0"/>
    <w:rsid w:val="00441B8F"/>
    <w:rsid w:val="00442A51"/>
    <w:rsid w:val="00465806"/>
    <w:rsid w:val="00472061"/>
    <w:rsid w:val="004758EE"/>
    <w:rsid w:val="00476081"/>
    <w:rsid w:val="0048010E"/>
    <w:rsid w:val="004848E7"/>
    <w:rsid w:val="00486F4E"/>
    <w:rsid w:val="004B119A"/>
    <w:rsid w:val="004D3A93"/>
    <w:rsid w:val="004F2792"/>
    <w:rsid w:val="0053231B"/>
    <w:rsid w:val="00544AB9"/>
    <w:rsid w:val="00567DDC"/>
    <w:rsid w:val="00574DCB"/>
    <w:rsid w:val="00591E4E"/>
    <w:rsid w:val="005921AD"/>
    <w:rsid w:val="005B4D4D"/>
    <w:rsid w:val="005D339A"/>
    <w:rsid w:val="005D7129"/>
    <w:rsid w:val="005F0853"/>
    <w:rsid w:val="00631EBD"/>
    <w:rsid w:val="00685125"/>
    <w:rsid w:val="00696E87"/>
    <w:rsid w:val="006C680B"/>
    <w:rsid w:val="007043BD"/>
    <w:rsid w:val="00724B29"/>
    <w:rsid w:val="00764D4E"/>
    <w:rsid w:val="00772B56"/>
    <w:rsid w:val="007A10FC"/>
    <w:rsid w:val="007A3165"/>
    <w:rsid w:val="007B1944"/>
    <w:rsid w:val="007B40A6"/>
    <w:rsid w:val="007C66B2"/>
    <w:rsid w:val="007D338E"/>
    <w:rsid w:val="008045C7"/>
    <w:rsid w:val="0080538A"/>
    <w:rsid w:val="0080710B"/>
    <w:rsid w:val="008255A1"/>
    <w:rsid w:val="00827539"/>
    <w:rsid w:val="00841BFB"/>
    <w:rsid w:val="0084248E"/>
    <w:rsid w:val="008824E9"/>
    <w:rsid w:val="00892B2F"/>
    <w:rsid w:val="008A5E9A"/>
    <w:rsid w:val="008C7E6B"/>
    <w:rsid w:val="008D1905"/>
    <w:rsid w:val="008E2772"/>
    <w:rsid w:val="00933731"/>
    <w:rsid w:val="00971E50"/>
    <w:rsid w:val="00983F75"/>
    <w:rsid w:val="00985BE5"/>
    <w:rsid w:val="00991898"/>
    <w:rsid w:val="009B4CA9"/>
    <w:rsid w:val="00A07CB7"/>
    <w:rsid w:val="00A110E1"/>
    <w:rsid w:val="00A132AB"/>
    <w:rsid w:val="00A13FB4"/>
    <w:rsid w:val="00A446A2"/>
    <w:rsid w:val="00A46FBF"/>
    <w:rsid w:val="00AB2CD8"/>
    <w:rsid w:val="00AC7F5D"/>
    <w:rsid w:val="00AD04CC"/>
    <w:rsid w:val="00AD70EF"/>
    <w:rsid w:val="00AD7ECD"/>
    <w:rsid w:val="00AE7DCD"/>
    <w:rsid w:val="00AF420A"/>
    <w:rsid w:val="00AF5B53"/>
    <w:rsid w:val="00B202C0"/>
    <w:rsid w:val="00B32F00"/>
    <w:rsid w:val="00B46017"/>
    <w:rsid w:val="00B523D2"/>
    <w:rsid w:val="00B52C73"/>
    <w:rsid w:val="00B7322F"/>
    <w:rsid w:val="00B94936"/>
    <w:rsid w:val="00BC04BC"/>
    <w:rsid w:val="00BF52F2"/>
    <w:rsid w:val="00C10F8B"/>
    <w:rsid w:val="00C11D34"/>
    <w:rsid w:val="00C1528E"/>
    <w:rsid w:val="00C17847"/>
    <w:rsid w:val="00C24572"/>
    <w:rsid w:val="00C37223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E228E7"/>
    <w:rsid w:val="00E419A4"/>
    <w:rsid w:val="00E44DC6"/>
    <w:rsid w:val="00E8258F"/>
    <w:rsid w:val="00E849EC"/>
    <w:rsid w:val="00E85B81"/>
    <w:rsid w:val="00EA1B2B"/>
    <w:rsid w:val="00EA2065"/>
    <w:rsid w:val="00ED6FD9"/>
    <w:rsid w:val="00F07F99"/>
    <w:rsid w:val="00F17BCF"/>
    <w:rsid w:val="00F349D8"/>
    <w:rsid w:val="00F423F5"/>
    <w:rsid w:val="00F42718"/>
    <w:rsid w:val="00F42AF7"/>
    <w:rsid w:val="00F834DF"/>
    <w:rsid w:val="00F901E2"/>
    <w:rsid w:val="00F915FA"/>
    <w:rsid w:val="00F92B0A"/>
    <w:rsid w:val="00F93D5C"/>
    <w:rsid w:val="00FA2077"/>
    <w:rsid w:val="00FC72FF"/>
    <w:rsid w:val="00FD10B2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0A77B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96A6-8E69-4C9C-A919-B2FFE94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2392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Miroslav Jilek</cp:lastModifiedBy>
  <cp:revision>10</cp:revision>
  <cp:lastPrinted>2019-06-05T14:16:00Z</cp:lastPrinted>
  <dcterms:created xsi:type="dcterms:W3CDTF">2020-01-28T10:54:00Z</dcterms:created>
  <dcterms:modified xsi:type="dcterms:W3CDTF">2020-03-24T10:20:00Z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