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3563" w14:textId="77777777" w:rsidR="004B0A41" w:rsidRDefault="004B0A41" w:rsidP="00BF3B2A">
      <w:pPr>
        <w:jc w:val="center"/>
        <w:rPr>
          <w:b/>
        </w:rPr>
      </w:pPr>
    </w:p>
    <w:p w14:paraId="2261F800" w14:textId="77777777" w:rsidR="004B0A41" w:rsidRDefault="004B0A41" w:rsidP="00BF3B2A">
      <w:pPr>
        <w:jc w:val="center"/>
        <w:rPr>
          <w:b/>
        </w:rPr>
      </w:pPr>
    </w:p>
    <w:p w14:paraId="2373D418" w14:textId="77777777" w:rsidR="00E16E19" w:rsidRPr="00BF3B2A" w:rsidRDefault="00686231" w:rsidP="00BF3B2A">
      <w:pPr>
        <w:jc w:val="center"/>
        <w:rPr>
          <w:b/>
        </w:rPr>
      </w:pPr>
      <w:r w:rsidRPr="00BF3B2A">
        <w:rPr>
          <w:b/>
        </w:rPr>
        <w:t>Technická specifikace pro vypracování studie proveditelnosti a DVZ uceleného bezpečnostního technologického systému VŠB-TUO</w:t>
      </w:r>
    </w:p>
    <w:p w14:paraId="2D9C6A1F" w14:textId="77777777" w:rsidR="00FB3E00" w:rsidRPr="00BF3B2A" w:rsidRDefault="00FB3E00" w:rsidP="00E3226E">
      <w:pPr>
        <w:rPr>
          <w:sz w:val="22"/>
          <w:szCs w:val="22"/>
        </w:rPr>
      </w:pPr>
    </w:p>
    <w:p w14:paraId="649FF316" w14:textId="77777777" w:rsidR="00BF3B2A" w:rsidRPr="00BF3B2A" w:rsidRDefault="00BF3B2A" w:rsidP="00BF3B2A">
      <w:pPr>
        <w:pStyle w:val="VSBNadpis1slovan"/>
      </w:pPr>
      <w:r w:rsidRPr="00BF3B2A">
        <w:t>technická specifikace předmětu zakázky</w:t>
      </w:r>
    </w:p>
    <w:p w14:paraId="673D8C4D" w14:textId="77777777" w:rsidR="00FB3E00" w:rsidRPr="00BF3B2A" w:rsidRDefault="00FB3E00" w:rsidP="00FB3E00">
      <w:pPr>
        <w:pStyle w:val="VSBNormal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Předmětem plnění veřejné zakázky je zpracování studie proveditelnosti a DVZ v rozsahu této zadávací dokumentace a dle vyhlášky č. 62/2013 Sb., a vyhlášky č. 169/2016 Sb., o stanovení rozsahu dokumentace veřejné zakázky na stavební práce a soupisu stavebních prací, dodávek</w:t>
      </w:r>
      <w:r w:rsidRPr="00BF3B2A">
        <w:rPr>
          <w:rFonts w:ascii="Times New Roman" w:hAnsi="Times New Roman"/>
          <w:szCs w:val="22"/>
        </w:rPr>
        <w:br/>
        <w:t xml:space="preserve">a služeb s výkazem výměr, ve znění pozdějších předpisů, související s výstavbou a modernizací zabezpečovacích technologií.  </w:t>
      </w:r>
    </w:p>
    <w:p w14:paraId="3F3C42BC" w14:textId="77777777" w:rsidR="00FB3E00" w:rsidRPr="00BF3B2A" w:rsidRDefault="00FB3E00" w:rsidP="00FB3E00">
      <w:pPr>
        <w:pStyle w:val="VSBNormal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Při zpracování musí být respektovány níže uvedené ČSN:</w:t>
      </w:r>
    </w:p>
    <w:p w14:paraId="05D8FB32" w14:textId="77777777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Poplachový zabezpečovací a tísňový systém (ČSN EN 50131), dále jen PZTS - soubor technických prostředků ke zvýšení bezpečnosti střežených prostorů, který je určen především k rychlé detekci přítomnosti nebo pokusu o neoprávněné vniknutí do střeženého prostoru a následnému předání této informace na dohledové a poplachové přijímací centrum.</w:t>
      </w:r>
    </w:p>
    <w:p w14:paraId="702958EB" w14:textId="77777777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Dohledové videosystémy (ČSN EN 62676), dále jen DVS - kamerové systémy, které umožňují sledování ve střežených zónách s možností ukládání záznamů k jejich dalšímu zpracování.</w:t>
      </w:r>
    </w:p>
    <w:p w14:paraId="7D453291" w14:textId="77777777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Elektronický systém kontroly vstupu (ČSN EN 60839), dále jen ESKV - kontrola a regulace přístupu osob do budov nebo jejich částí na základě definovaných přístupových práv.</w:t>
      </w:r>
    </w:p>
    <w:p w14:paraId="62B1E6F9" w14:textId="77777777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Dohledové a poplachové přijímací centrum (ČSN EN 50518), dále jen DPPC - vzdálené řízení integrovaného bezpečnostního systému (PZTS, DVS, ESKV) z jednoho pracoviště.</w:t>
      </w:r>
    </w:p>
    <w:p w14:paraId="1FD5F350" w14:textId="77777777" w:rsidR="00496032" w:rsidRPr="009001E4" w:rsidRDefault="00496032" w:rsidP="00496032">
      <w:pPr>
        <w:pStyle w:val="VSBNormal"/>
        <w:rPr>
          <w:rFonts w:ascii="Times New Roman" w:hAnsi="Times New Roman"/>
        </w:rPr>
      </w:pPr>
      <w:bookmarkStart w:id="0" w:name="_Hlk63687828"/>
      <w:r w:rsidRPr="009001E4">
        <w:rPr>
          <w:rFonts w:ascii="Times New Roman" w:hAnsi="Times New Roman"/>
        </w:rPr>
        <w:t xml:space="preserve">Pro budoucí </w:t>
      </w:r>
      <w:bookmarkStart w:id="1" w:name="_Hlk63679974"/>
      <w:r w:rsidRPr="009001E4">
        <w:rPr>
          <w:rFonts w:ascii="Times New Roman" w:hAnsi="Times New Roman"/>
        </w:rPr>
        <w:t xml:space="preserve">realizaci </w:t>
      </w:r>
      <w:r w:rsidRPr="009001E4">
        <w:rPr>
          <w:rFonts w:ascii="Times New Roman" w:hAnsi="Times New Roman"/>
          <w:lang w:val="cs-CZ"/>
        </w:rPr>
        <w:t xml:space="preserve">uceleného bezpečnostního technologického systému </w:t>
      </w:r>
      <w:bookmarkEnd w:id="1"/>
      <w:r w:rsidRPr="009001E4">
        <w:rPr>
          <w:rFonts w:ascii="Times New Roman" w:hAnsi="Times New Roman"/>
          <w:lang w:val="cs-CZ"/>
        </w:rPr>
        <w:t>bude</w:t>
      </w:r>
      <w:r w:rsidRPr="009001E4">
        <w:rPr>
          <w:rFonts w:ascii="Times New Roman" w:hAnsi="Times New Roman"/>
        </w:rPr>
        <w:t xml:space="preserve"> DVZ provedena v rozsahu a detailu vhodném pro výběr budoucího zhotovitele (dodavatele), tedy takovém, aby na základě dodané projektové dokumentace byli budoucí dodavatelé schopni ocenit technické řešení a jejich cenové nabídky byly porovnatelné s nabídkami ostatních účastníků v budoucím zadávacím řízení na výše uvedenou realizaci uceleného bezpečnostního technologického systému, jež bude vyhlášena dle zákona č. 134/2016 Sb., o zadávání veřejných zakázek, ve znění pozdějších předpisů (dále jen „ZZVZ“). DVZ musí splňovat požadavky ZZVZ a souvisejících prováděcích dokumentů. Součástí plnění bude i návrh požadavků na technickou kvalifikaci dodavatelů pro úroveň technického řešení dle DVZ a v rozsahu přípustném ZZVZ.</w:t>
      </w:r>
    </w:p>
    <w:p w14:paraId="6DE40EB0" w14:textId="77777777" w:rsidR="00496032" w:rsidRPr="009001E4" w:rsidRDefault="00496032" w:rsidP="00496032">
      <w:pPr>
        <w:pStyle w:val="VSBNormal"/>
        <w:rPr>
          <w:rFonts w:ascii="Times New Roman" w:hAnsi="Times New Roman"/>
        </w:rPr>
      </w:pPr>
      <w:r w:rsidRPr="009001E4">
        <w:rPr>
          <w:rFonts w:ascii="Times New Roman" w:hAnsi="Times New Roman"/>
        </w:rPr>
        <w:t>Zadavatel si vyhrazuje právo konzultovat DVZ v rozpracovanosti a určovat počet a frekvenci kontrolních dnů. Zadavatel si vyhrazuje právo připomínkovat DVZ za účelem získání optimálního řešení. Po odsouhlasení finálního návrhu DVZ objednatelem bude možné vyhotovit čistopis DVZ k předání objednateli.</w:t>
      </w:r>
    </w:p>
    <w:p w14:paraId="611472D7" w14:textId="77777777" w:rsidR="00496032" w:rsidRPr="009001E4" w:rsidRDefault="00496032" w:rsidP="00496032">
      <w:pPr>
        <w:pStyle w:val="VSBNormal"/>
        <w:rPr>
          <w:rFonts w:ascii="Times New Roman" w:hAnsi="Times New Roman"/>
        </w:rPr>
      </w:pPr>
      <w:r w:rsidRPr="009001E4">
        <w:rPr>
          <w:rFonts w:ascii="Times New Roman" w:hAnsi="Times New Roman"/>
        </w:rPr>
        <w:t>DVZ bude členěna po jednotlivých částech tak, aby byly jednotlivé části oddělitelné, ale tvořily funkční celek v souladu s účelem projektu. Za jednotlivé části jsou ve smyslu této výzvy považovány shora uvedené PZTS, DVS, ESKV a DPPC. Je požadováno, aby DVZ byla členěna po jednotlivých objektech a technologických celcích/systémů technické ochrany. Zadavatel si vyhrazuje právo na změnu požadavků na členění DVZ.</w:t>
      </w:r>
    </w:p>
    <w:bookmarkEnd w:id="0"/>
    <w:p w14:paraId="282A8FED" w14:textId="77777777" w:rsidR="00FB3E00" w:rsidRPr="00BF3B2A" w:rsidRDefault="00FB3E00" w:rsidP="00FB3E00">
      <w:pPr>
        <w:pStyle w:val="VSBNadpis2slovan"/>
        <w:tabs>
          <w:tab w:val="clear" w:pos="360"/>
          <w:tab w:val="num" w:pos="0"/>
        </w:tabs>
        <w:rPr>
          <w:rFonts w:ascii="Times New Roman" w:hAnsi="Times New Roman"/>
          <w:sz w:val="22"/>
        </w:rPr>
      </w:pPr>
      <w:r w:rsidRPr="00BF3B2A">
        <w:rPr>
          <w:rFonts w:ascii="Times New Roman" w:hAnsi="Times New Roman"/>
          <w:sz w:val="22"/>
        </w:rPr>
        <w:t xml:space="preserve">Část 1 Provedení studie proveditelnosti zabezpečení objektů VŠB-TUO </w:t>
      </w:r>
    </w:p>
    <w:p w14:paraId="03E03E0F" w14:textId="77777777" w:rsidR="00FB3E00" w:rsidRPr="00BF3B2A" w:rsidRDefault="00FB3E00" w:rsidP="00FB3E00">
      <w:pPr>
        <w:pStyle w:val="VSBNormal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 xml:space="preserve">Zahrnuje provedení posouzení současného stavu, analýzu rizik a návrh technického řešení zabezpečení objektů uvedených v kapitole </w:t>
      </w:r>
      <w:r w:rsidRPr="00BF3B2A">
        <w:rPr>
          <w:rFonts w:ascii="Times New Roman" w:hAnsi="Times New Roman"/>
          <w:szCs w:val="22"/>
        </w:rPr>
        <w:fldChar w:fldCharType="begin"/>
      </w:r>
      <w:r w:rsidRPr="00BF3B2A">
        <w:rPr>
          <w:rFonts w:ascii="Times New Roman" w:hAnsi="Times New Roman"/>
          <w:szCs w:val="22"/>
        </w:rPr>
        <w:instrText xml:space="preserve"> REF _Ref62552183 \r \h </w:instrText>
      </w:r>
      <w:r w:rsidR="00BF3B2A" w:rsidRPr="00BF3B2A">
        <w:rPr>
          <w:rFonts w:ascii="Times New Roman" w:hAnsi="Times New Roman"/>
          <w:szCs w:val="22"/>
        </w:rPr>
        <w:instrText xml:space="preserve"> \* MERGEFORMAT </w:instrText>
      </w:r>
      <w:r w:rsidRPr="00BF3B2A">
        <w:rPr>
          <w:rFonts w:ascii="Times New Roman" w:hAnsi="Times New Roman"/>
          <w:szCs w:val="22"/>
        </w:rPr>
      </w:r>
      <w:r w:rsidRPr="00BF3B2A">
        <w:rPr>
          <w:rFonts w:ascii="Times New Roman" w:hAnsi="Times New Roman"/>
          <w:szCs w:val="22"/>
        </w:rPr>
        <w:fldChar w:fldCharType="separate"/>
      </w:r>
      <w:r w:rsidRPr="00BF3B2A">
        <w:rPr>
          <w:rFonts w:ascii="Times New Roman" w:hAnsi="Times New Roman"/>
          <w:szCs w:val="22"/>
        </w:rPr>
        <w:t>5</w:t>
      </w:r>
      <w:r w:rsidRPr="00BF3B2A">
        <w:rPr>
          <w:rFonts w:ascii="Times New Roman" w:hAnsi="Times New Roman"/>
          <w:szCs w:val="22"/>
        </w:rPr>
        <w:fldChar w:fldCharType="end"/>
      </w:r>
      <w:r w:rsidRPr="00BF3B2A">
        <w:rPr>
          <w:rFonts w:ascii="Times New Roman" w:hAnsi="Times New Roman"/>
          <w:szCs w:val="22"/>
        </w:rPr>
        <w:t xml:space="preserve"> Místo plnění.</w:t>
      </w:r>
    </w:p>
    <w:p w14:paraId="4CB97973" w14:textId="77777777" w:rsidR="00FB3E00" w:rsidRPr="00BF3B2A" w:rsidRDefault="00FB3E00" w:rsidP="00FB3E00">
      <w:pPr>
        <w:pStyle w:val="VSBNormal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 xml:space="preserve">Součástí studie bude: </w:t>
      </w:r>
    </w:p>
    <w:p w14:paraId="02750CDE" w14:textId="77777777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pasportizace technického zabezpečení objektů VŠB-TUO;</w:t>
      </w:r>
    </w:p>
    <w:p w14:paraId="5F7B5D30" w14:textId="77777777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posouzení stavu existujících opatření;</w:t>
      </w:r>
    </w:p>
    <w:p w14:paraId="1AB2F1A7" w14:textId="77777777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analýza rizik fyzické ochrany osob a majetku;</w:t>
      </w:r>
    </w:p>
    <w:p w14:paraId="5DED5DC5" w14:textId="77777777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 xml:space="preserve">návrh technického řešení zabezpečení pro objekty různých velikostí a kategorií se záměrem </w:t>
      </w:r>
      <w:r w:rsidRPr="00BF3B2A">
        <w:rPr>
          <w:rFonts w:ascii="Times New Roman" w:hAnsi="Times New Roman"/>
          <w:szCs w:val="22"/>
        </w:rPr>
        <w:lastRenderedPageBreak/>
        <w:t xml:space="preserve">vytvoření UBTS (DPPC, PZTS, DVS, ESKV) s cílem ochránit hodnoty při zajištění běžného chodu, v rámci kterého musí být splněny následující požadavky, a to: </w:t>
      </w:r>
    </w:p>
    <w:p w14:paraId="7633410E" w14:textId="77777777" w:rsidR="00FB3E00" w:rsidRPr="00BF3B2A" w:rsidRDefault="00FB3E00" w:rsidP="00FB3E00">
      <w:pPr>
        <w:pStyle w:val="VSBOdrka2"/>
        <w:tabs>
          <w:tab w:val="clear" w:pos="360"/>
        </w:tabs>
        <w:ind w:left="1211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zvýšení účinnosti již zavedených bezpečnostních opatření;</w:t>
      </w:r>
    </w:p>
    <w:p w14:paraId="2753A4E8" w14:textId="77777777" w:rsidR="00FB3E00" w:rsidRPr="00BF3B2A" w:rsidRDefault="00FB3E00" w:rsidP="00FB3E00">
      <w:pPr>
        <w:pStyle w:val="VSBOdrka2"/>
        <w:tabs>
          <w:tab w:val="clear" w:pos="360"/>
        </w:tabs>
        <w:ind w:left="1211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sjednocení správy bezpečnostních a provozních technologií;</w:t>
      </w:r>
    </w:p>
    <w:p w14:paraId="4EEA24A2" w14:textId="77777777" w:rsidR="00FB3E00" w:rsidRPr="00BF3B2A" w:rsidRDefault="00FB3E00" w:rsidP="00FB3E00">
      <w:pPr>
        <w:pStyle w:val="VSBOdrka2"/>
        <w:tabs>
          <w:tab w:val="clear" w:pos="360"/>
        </w:tabs>
        <w:ind w:left="1211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optimalizace nákladů na bezpečnost;</w:t>
      </w:r>
    </w:p>
    <w:p w14:paraId="078C3837" w14:textId="77777777" w:rsidR="00FB3E00" w:rsidRPr="00BF3B2A" w:rsidRDefault="00FB3E00" w:rsidP="00FB3E00">
      <w:pPr>
        <w:pStyle w:val="VSBOdrka2"/>
        <w:tabs>
          <w:tab w:val="clear" w:pos="360"/>
        </w:tabs>
        <w:ind w:left="1211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zvýšení bezpečnosti;</w:t>
      </w:r>
    </w:p>
    <w:p w14:paraId="295555E5" w14:textId="77777777" w:rsidR="00FB3E00" w:rsidRPr="00BF3B2A" w:rsidRDefault="00FB3E00" w:rsidP="00FB3E00">
      <w:pPr>
        <w:pStyle w:val="VSBOdrka2"/>
        <w:tabs>
          <w:tab w:val="clear" w:pos="360"/>
        </w:tabs>
        <w:ind w:left="1211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minimální řešení s maximální efektivitou;</w:t>
      </w:r>
    </w:p>
    <w:p w14:paraId="49CD09B5" w14:textId="77777777" w:rsidR="00FB3E00" w:rsidRPr="00BF3B2A" w:rsidRDefault="00FB3E00" w:rsidP="00FB3E00">
      <w:pPr>
        <w:pStyle w:val="VSBOdrka2"/>
        <w:tabs>
          <w:tab w:val="clear" w:pos="360"/>
        </w:tabs>
        <w:ind w:left="1211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nastavení vysokého stupně reakce – schopnosti fyzické ostrahy řešení incidentů;</w:t>
      </w:r>
    </w:p>
    <w:p w14:paraId="59FA4496" w14:textId="34C3E8E8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 xml:space="preserve">prioritizace vytvoření UBTS </w:t>
      </w:r>
      <w:r w:rsidR="00976781">
        <w:rPr>
          <w:rFonts w:ascii="Times New Roman" w:hAnsi="Times New Roman"/>
          <w:szCs w:val="22"/>
        </w:rPr>
        <w:t>s</w:t>
      </w:r>
      <w:r w:rsidRPr="00BF3B2A">
        <w:rPr>
          <w:rFonts w:ascii="Times New Roman" w:hAnsi="Times New Roman"/>
          <w:szCs w:val="22"/>
        </w:rPr>
        <w:t xml:space="preserve"> ohledem na plánovanou rekonstrukci nebo výstavbu </w:t>
      </w:r>
      <w:r w:rsidR="00976781">
        <w:rPr>
          <w:rFonts w:ascii="Times New Roman" w:hAnsi="Times New Roman"/>
          <w:szCs w:val="22"/>
        </w:rPr>
        <w:t xml:space="preserve">objektů </w:t>
      </w:r>
      <w:r w:rsidRPr="00BF3B2A">
        <w:rPr>
          <w:rFonts w:ascii="Times New Roman" w:hAnsi="Times New Roman"/>
          <w:szCs w:val="22"/>
        </w:rPr>
        <w:t>zadavatele;</w:t>
      </w:r>
    </w:p>
    <w:p w14:paraId="7126148B" w14:textId="77777777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náklady (investiční a provozní) a možnost úspor;</w:t>
      </w:r>
    </w:p>
    <w:p w14:paraId="5CEF0178" w14:textId="77777777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využití právních předpisů a technických norem  vztahujících se k sektoru veřejných vysokých škol, veřejného prostoru a ochraně měkkých cílů.</w:t>
      </w:r>
    </w:p>
    <w:p w14:paraId="581844DD" w14:textId="77777777" w:rsidR="00FB3E00" w:rsidRPr="00BF3B2A" w:rsidRDefault="00FB3E00" w:rsidP="00FB3E00">
      <w:pPr>
        <w:pStyle w:val="VSBNadpis2slovan"/>
        <w:tabs>
          <w:tab w:val="clear" w:pos="360"/>
          <w:tab w:val="num" w:pos="0"/>
        </w:tabs>
        <w:rPr>
          <w:rFonts w:ascii="Times New Roman" w:hAnsi="Times New Roman"/>
          <w:sz w:val="22"/>
        </w:rPr>
      </w:pPr>
      <w:r w:rsidRPr="00BF3B2A">
        <w:rPr>
          <w:rFonts w:ascii="Times New Roman" w:hAnsi="Times New Roman"/>
          <w:sz w:val="22"/>
        </w:rPr>
        <w:t>Část 2 Vypracování DVZ</w:t>
      </w:r>
      <w:bookmarkStart w:id="2" w:name="_GoBack"/>
      <w:bookmarkEnd w:id="2"/>
    </w:p>
    <w:p w14:paraId="3616BE2F" w14:textId="77777777" w:rsidR="00FB3E00" w:rsidRPr="00BF3B2A" w:rsidRDefault="00FB3E00" w:rsidP="00FB3E00">
      <w:pPr>
        <w:pStyle w:val="VSBNormal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Stavební, konstrukční a elektro řešení nezbytné pro výstavbu a obměnu prostředků systémů technické ochrany. Součástí obsahu DVZ bude:</w:t>
      </w:r>
    </w:p>
    <w:p w14:paraId="218ADA22" w14:textId="77777777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vypracování podrobné kompletní projektové dokumentace s ohledem na schválené závěry studie proveditelnosti, požadavky zadavatele a kompatibilitu se stávajícími systémy technické ochrany zadavatele, které budou splňovat schválené závěry studie proveditelnosti zadavatelem s následujícími řešeními, které budou respektovat používané systémy technické ochrany. Jedná se o řešení:</w:t>
      </w:r>
    </w:p>
    <w:p w14:paraId="66DF01A6" w14:textId="77777777" w:rsidR="00FB3E00" w:rsidRPr="00BF3B2A" w:rsidRDefault="00FB3E00" w:rsidP="00FB3E00">
      <w:pPr>
        <w:pStyle w:val="VSBOdrka2"/>
        <w:tabs>
          <w:tab w:val="clear" w:pos="360"/>
        </w:tabs>
        <w:ind w:left="1211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systému PZTS;</w:t>
      </w:r>
    </w:p>
    <w:p w14:paraId="144F1918" w14:textId="77777777" w:rsidR="00FB3E00" w:rsidRPr="00BF3B2A" w:rsidRDefault="00FB3E00" w:rsidP="00FB3E00">
      <w:pPr>
        <w:pStyle w:val="VSBOdrka2"/>
        <w:tabs>
          <w:tab w:val="clear" w:pos="360"/>
        </w:tabs>
        <w:ind w:left="1211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systému VSS;</w:t>
      </w:r>
    </w:p>
    <w:p w14:paraId="398274C0" w14:textId="77777777" w:rsidR="00FB3E00" w:rsidRPr="00BF3B2A" w:rsidRDefault="00FB3E00" w:rsidP="00FB3E00">
      <w:pPr>
        <w:pStyle w:val="VSBOdrka2"/>
        <w:tabs>
          <w:tab w:val="clear" w:pos="360"/>
        </w:tabs>
        <w:ind w:left="1211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systému ESKV;</w:t>
      </w:r>
    </w:p>
    <w:p w14:paraId="5CC5CB15" w14:textId="77777777" w:rsidR="00FB3E00" w:rsidRPr="00BF3B2A" w:rsidRDefault="00FB3E00" w:rsidP="00FB3E00">
      <w:pPr>
        <w:pStyle w:val="VSBOdrka2"/>
        <w:tabs>
          <w:tab w:val="clear" w:pos="360"/>
        </w:tabs>
        <w:ind w:left="1211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rozhlasového informačního systému v rámci budov a areálů;</w:t>
      </w:r>
    </w:p>
    <w:p w14:paraId="2B0CBC99" w14:textId="329DBF72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podrobná technická specifikace technických řešení vypracovaná způsobem, aby mohla být použita v souladu se ZZVZ k </w:t>
      </w:r>
      <w:r w:rsidR="00976781">
        <w:rPr>
          <w:rFonts w:ascii="Times New Roman" w:hAnsi="Times New Roman"/>
          <w:szCs w:val="22"/>
        </w:rPr>
        <w:t xml:space="preserve">budoucímu </w:t>
      </w:r>
      <w:r w:rsidRPr="00BF3B2A">
        <w:rPr>
          <w:rFonts w:ascii="Times New Roman" w:hAnsi="Times New Roman"/>
          <w:szCs w:val="22"/>
        </w:rPr>
        <w:t>výběru zhotovitele, a to ve všech částech tzn. ve výkresech, technických zprávách a v</w:t>
      </w:r>
      <w:r w:rsidR="00976781">
        <w:rPr>
          <w:rFonts w:ascii="Times New Roman" w:hAnsi="Times New Roman"/>
          <w:szCs w:val="22"/>
        </w:rPr>
        <w:t>e</w:t>
      </w:r>
      <w:r w:rsidRPr="00BF3B2A">
        <w:rPr>
          <w:rFonts w:ascii="Times New Roman" w:hAnsi="Times New Roman"/>
          <w:szCs w:val="22"/>
        </w:rPr>
        <w:t> výkaz</w:t>
      </w:r>
      <w:r w:rsidR="00976781">
        <w:rPr>
          <w:rFonts w:ascii="Times New Roman" w:hAnsi="Times New Roman"/>
          <w:szCs w:val="22"/>
        </w:rPr>
        <w:t xml:space="preserve">ech </w:t>
      </w:r>
      <w:r w:rsidRPr="00BF3B2A">
        <w:rPr>
          <w:rFonts w:ascii="Times New Roman" w:hAnsi="Times New Roman"/>
          <w:szCs w:val="22"/>
        </w:rPr>
        <w:t>výměr;</w:t>
      </w:r>
    </w:p>
    <w:p w14:paraId="22ABF680" w14:textId="77777777" w:rsidR="00FB3E00" w:rsidRPr="00BF3B2A" w:rsidRDefault="00FB3E00" w:rsidP="00FB3E00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p</w:t>
      </w:r>
      <w:r w:rsidRPr="00BF3B2A" w:rsidDel="007857FD">
        <w:rPr>
          <w:rFonts w:ascii="Times New Roman" w:hAnsi="Times New Roman"/>
          <w:szCs w:val="22"/>
        </w:rPr>
        <w:t xml:space="preserve">očet vyhotovení projektové dokumentace bude ve 3 </w:t>
      </w:r>
      <w:r w:rsidRPr="00BF3B2A">
        <w:rPr>
          <w:rFonts w:ascii="Times New Roman" w:hAnsi="Times New Roman"/>
          <w:szCs w:val="22"/>
        </w:rPr>
        <w:t>vyhotoveních</w:t>
      </w:r>
      <w:r w:rsidRPr="00BF3B2A" w:rsidDel="007857FD">
        <w:rPr>
          <w:rFonts w:ascii="Times New Roman" w:hAnsi="Times New Roman"/>
          <w:szCs w:val="22"/>
        </w:rPr>
        <w:t xml:space="preserve"> v listinné podobě. Součástí bude</w:t>
      </w:r>
      <w:r w:rsidRPr="00BF3B2A">
        <w:rPr>
          <w:rFonts w:ascii="Times New Roman" w:hAnsi="Times New Roman"/>
          <w:szCs w:val="22"/>
        </w:rPr>
        <w:t xml:space="preserve"> </w:t>
      </w:r>
      <w:r w:rsidRPr="00BF3B2A" w:rsidDel="007857FD">
        <w:rPr>
          <w:rFonts w:ascii="Times New Roman" w:hAnsi="Times New Roman"/>
          <w:szCs w:val="22"/>
        </w:rPr>
        <w:t>i elektronická verze dokumentace ve formátu DWG, PDF, JPG, formát textů</w:t>
      </w:r>
      <w:r w:rsidRPr="00BF3B2A">
        <w:rPr>
          <w:rFonts w:ascii="Times New Roman" w:hAnsi="Times New Roman"/>
          <w:szCs w:val="22"/>
        </w:rPr>
        <w:t xml:space="preserve"> </w:t>
      </w:r>
      <w:r w:rsidRPr="00BF3B2A" w:rsidDel="007857FD">
        <w:rPr>
          <w:rFonts w:ascii="Times New Roman" w:hAnsi="Times New Roman"/>
          <w:szCs w:val="22"/>
        </w:rPr>
        <w:t>v DOC</w:t>
      </w:r>
      <w:r w:rsidRPr="00BF3B2A">
        <w:rPr>
          <w:rFonts w:ascii="Times New Roman" w:hAnsi="Times New Roman"/>
          <w:szCs w:val="22"/>
        </w:rPr>
        <w:t>X</w:t>
      </w:r>
      <w:r w:rsidRPr="00BF3B2A" w:rsidDel="007857FD">
        <w:rPr>
          <w:rFonts w:ascii="Times New Roman" w:hAnsi="Times New Roman"/>
          <w:szCs w:val="22"/>
        </w:rPr>
        <w:t xml:space="preserve">, formát dokladové části v PDF, JPG na CD nosiči v 6 </w:t>
      </w:r>
      <w:r w:rsidRPr="00BF3B2A">
        <w:rPr>
          <w:rFonts w:ascii="Times New Roman" w:hAnsi="Times New Roman"/>
          <w:szCs w:val="22"/>
        </w:rPr>
        <w:t>vyhotoveních</w:t>
      </w:r>
      <w:r w:rsidRPr="00BF3B2A" w:rsidDel="007857FD">
        <w:rPr>
          <w:rFonts w:ascii="Times New Roman" w:hAnsi="Times New Roman"/>
          <w:szCs w:val="22"/>
        </w:rPr>
        <w:t xml:space="preserve">. </w:t>
      </w:r>
    </w:p>
    <w:p w14:paraId="3A1C59D4" w14:textId="77777777" w:rsidR="00FB3E00" w:rsidRPr="00BF3B2A" w:rsidRDefault="00FB3E00" w:rsidP="00BF3B2A">
      <w:pPr>
        <w:pStyle w:val="VSBNadpis1slovan"/>
      </w:pPr>
      <w:r w:rsidRPr="00BF3B2A">
        <w:t>Výchozí podklady pro vypracování</w:t>
      </w:r>
    </w:p>
    <w:p w14:paraId="6CAEDEDF" w14:textId="77777777" w:rsidR="00FB3E00" w:rsidRPr="00BF3B2A" w:rsidRDefault="00FB3E00" w:rsidP="00FB3E00">
      <w:pPr>
        <w:pStyle w:val="VSBNormal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Vítěznému uchazeči bude pro zpracování analýzy poskytnut popis provozovaných bezpečnostních systémů a interní dokumenty vztahující se k zabezpečení objektů.</w:t>
      </w:r>
    </w:p>
    <w:p w14:paraId="0BA90E72" w14:textId="77777777" w:rsidR="00FB3E00" w:rsidRPr="00BF3B2A" w:rsidRDefault="00FB3E00" w:rsidP="00FB3E00">
      <w:pPr>
        <w:pStyle w:val="VSBNormal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Pro vypracování DVZ budou projektantům poskytnuty půdorysy budov v listinné nebo elektronické podobě.</w:t>
      </w:r>
    </w:p>
    <w:p w14:paraId="6F9BE196" w14:textId="77777777" w:rsidR="00FB3E00" w:rsidRPr="00BF3B2A" w:rsidRDefault="00FB3E00" w:rsidP="00FB3E00">
      <w:pPr>
        <w:pStyle w:val="VSBNormal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Předávané dokumenty jsou chráněny, neboť se jedná o důvěrné údaje podle ust. § 1730 zákona č. 89/2012 Sb., které nejsou veřejně známé nebo dostupné a univerzita má na jejich utajení zájem. Všechny předávané informace a údaje, poskytnuté písemně, verbálně nebo v jiné formě, mají důvěrný charakter, a to i v případech, že je nelze považovat za obchodní tajemství ve smyslu ust. § 504 zákona č. 89/2012 Sb. Veškeré skutečnosti spadající do oblasti důvěrné informace nebudou dále rozšiřovány nebo reprodukovány a budou znepřístupněny třetí straně. Důvěrné informace se nepoužijí v rozporu s jejich účelem ani účelem jejich poskytnutí pro své potřeby nebo ve prospěch třetích osob.</w:t>
      </w:r>
    </w:p>
    <w:p w14:paraId="4A2A1DD8" w14:textId="77777777" w:rsidR="00FB3E00" w:rsidRPr="00BF3B2A" w:rsidRDefault="00FB3E00" w:rsidP="00BF3B2A">
      <w:pPr>
        <w:pStyle w:val="VSBNadpis1slovan"/>
      </w:pPr>
      <w:bookmarkStart w:id="3" w:name="_Ref62552183"/>
      <w:r w:rsidRPr="00BF3B2A">
        <w:lastRenderedPageBreak/>
        <w:t>Místo plnění</w:t>
      </w:r>
      <w:bookmarkEnd w:id="3"/>
    </w:p>
    <w:p w14:paraId="4CC7C61A" w14:textId="77777777" w:rsidR="00FB3E00" w:rsidRPr="00BF3B2A" w:rsidRDefault="00FB3E00" w:rsidP="00FB3E00">
      <w:pPr>
        <w:pStyle w:val="VSBNormal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Místem konání plánovaných kontrolních dnů v rámci DVZ, průběžných konzultací DVZ</w:t>
      </w:r>
      <w:r w:rsidRPr="00BF3B2A">
        <w:rPr>
          <w:rFonts w:ascii="Times New Roman" w:hAnsi="Times New Roman"/>
          <w:szCs w:val="22"/>
        </w:rPr>
        <w:br/>
        <w:t xml:space="preserve">a předání finálního vyhotovení DVZ, bude sídlo zadavatele, pokud se zadavatel s dodavatelem nedohodnou jinak.  </w:t>
      </w:r>
    </w:p>
    <w:p w14:paraId="2707BD19" w14:textId="5D126FA5" w:rsidR="00FB3E00" w:rsidRPr="00BF3B2A" w:rsidRDefault="00FB3E00" w:rsidP="00FB3E00">
      <w:pPr>
        <w:pStyle w:val="VSBNormal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 xml:space="preserve">Místem plnění se rozumí objekty VŠB-TUO. </w:t>
      </w:r>
      <w:r w:rsidR="001C5D69">
        <w:rPr>
          <w:rFonts w:ascii="Times New Roman" w:hAnsi="Times New Roman"/>
          <w:szCs w:val="22"/>
        </w:rPr>
        <w:t>Z</w:t>
      </w:r>
      <w:r w:rsidR="001C5D69" w:rsidRPr="001C5D69">
        <w:rPr>
          <w:rFonts w:ascii="Times New Roman" w:hAnsi="Times New Roman"/>
          <w:szCs w:val="22"/>
        </w:rPr>
        <w:t xml:space="preserve">adavatel </w:t>
      </w:r>
      <w:r w:rsidR="001C5D69">
        <w:rPr>
          <w:rFonts w:ascii="Times New Roman" w:hAnsi="Times New Roman"/>
          <w:szCs w:val="22"/>
        </w:rPr>
        <w:t xml:space="preserve">u každé </w:t>
      </w:r>
      <w:r w:rsidR="001C5D69">
        <w:rPr>
          <w:rFonts w:ascii="Times New Roman" w:hAnsi="Times New Roman"/>
          <w:szCs w:val="22"/>
        </w:rPr>
        <w:t>budovy</w:t>
      </w:r>
      <w:r w:rsidR="001C5D69">
        <w:rPr>
          <w:rFonts w:ascii="Times New Roman" w:hAnsi="Times New Roman"/>
          <w:szCs w:val="22"/>
        </w:rPr>
        <w:t xml:space="preserve"> na níže uvedené adrese </w:t>
      </w:r>
      <w:r w:rsidR="001C5D69" w:rsidRPr="001C5D69">
        <w:rPr>
          <w:rFonts w:ascii="Times New Roman" w:hAnsi="Times New Roman"/>
          <w:szCs w:val="22"/>
        </w:rPr>
        <w:t>v závorce uvádí počet nadzemních/podzemních podlaží v jednotlivých budovách</w:t>
      </w:r>
      <w:r w:rsidR="001C5D69">
        <w:rPr>
          <w:rFonts w:ascii="Times New Roman" w:hAnsi="Times New Roman"/>
          <w:szCs w:val="22"/>
        </w:rPr>
        <w:t>.</w:t>
      </w:r>
      <w:r w:rsidR="001C5D69" w:rsidRPr="001C5D69">
        <w:rPr>
          <w:rFonts w:ascii="Times New Roman" w:hAnsi="Times New Roman"/>
          <w:szCs w:val="22"/>
        </w:rPr>
        <w:t xml:space="preserve"> </w:t>
      </w:r>
      <w:r w:rsidRPr="00BF3B2A">
        <w:rPr>
          <w:rFonts w:ascii="Times New Roman" w:hAnsi="Times New Roman"/>
          <w:szCs w:val="22"/>
        </w:rPr>
        <w:t>Jedná se o</w:t>
      </w:r>
      <w:r w:rsidR="001C5D69">
        <w:rPr>
          <w:rFonts w:ascii="Times New Roman" w:hAnsi="Times New Roman"/>
          <w:szCs w:val="22"/>
        </w:rPr>
        <w:t xml:space="preserve"> budovy na adresách</w:t>
      </w:r>
      <w:r w:rsidRPr="00BF3B2A">
        <w:rPr>
          <w:rFonts w:ascii="Times New Roman" w:hAnsi="Times New Roman"/>
          <w:szCs w:val="22"/>
        </w:rPr>
        <w:t xml:space="preserve">:  </w:t>
      </w:r>
    </w:p>
    <w:p w14:paraId="5F5A71B4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A - 17. listopadu 2172/15, 708 00 Ostrava-Poruba</w:t>
      </w:r>
      <w:r>
        <w:rPr>
          <w:rFonts w:ascii="Times New Roman" w:hAnsi="Times New Roman"/>
          <w:szCs w:val="22"/>
        </w:rPr>
        <w:t xml:space="preserve"> (11/1)</w:t>
      </w:r>
    </w:p>
    <w:p w14:paraId="2BC8F908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B - 17. listopadu 2172/15, 708 00 Ostrava-Poruba</w:t>
      </w:r>
      <w:r>
        <w:rPr>
          <w:rFonts w:ascii="Times New Roman" w:hAnsi="Times New Roman"/>
          <w:szCs w:val="22"/>
        </w:rPr>
        <w:t xml:space="preserve"> (2/0)</w:t>
      </w:r>
    </w:p>
    <w:p w14:paraId="58067E4C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C - 17. listopadu 2172/15, 708 00 Ostrava-Poruba</w:t>
      </w:r>
      <w:r>
        <w:rPr>
          <w:rFonts w:ascii="Times New Roman" w:hAnsi="Times New Roman"/>
          <w:szCs w:val="22"/>
        </w:rPr>
        <w:t xml:space="preserve"> (3/1)</w:t>
      </w:r>
    </w:p>
    <w:p w14:paraId="0C281403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CPIT - 17. listopadu 2172/15, 708 00 Ostrava-Poruba</w:t>
      </w:r>
      <w:r>
        <w:rPr>
          <w:rFonts w:ascii="Times New Roman" w:hAnsi="Times New Roman"/>
          <w:szCs w:val="22"/>
        </w:rPr>
        <w:t xml:space="preserve"> (3/1)</w:t>
      </w:r>
    </w:p>
    <w:p w14:paraId="789467DD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D - 17. listopadu 2172/15, 708 00 Ostrava-Poruba</w:t>
      </w:r>
      <w:r>
        <w:rPr>
          <w:rFonts w:ascii="Times New Roman" w:hAnsi="Times New Roman"/>
          <w:szCs w:val="22"/>
        </w:rPr>
        <w:t xml:space="preserve"> (4/1)</w:t>
      </w:r>
    </w:p>
    <w:p w14:paraId="70619300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E - 17. listopadu 2172/15, 708 00 Ostrava-Poruba</w:t>
      </w:r>
      <w:r>
        <w:rPr>
          <w:rFonts w:ascii="Times New Roman" w:hAnsi="Times New Roman"/>
          <w:szCs w:val="22"/>
        </w:rPr>
        <w:t xml:space="preserve"> (4/0)</w:t>
      </w:r>
    </w:p>
    <w:p w14:paraId="6A5161CE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EkF nová - 17. listopadu 2172/15, 708 00 Ostrava-Poruba</w:t>
      </w:r>
      <w:r>
        <w:rPr>
          <w:rFonts w:ascii="Times New Roman" w:hAnsi="Times New Roman"/>
          <w:szCs w:val="22"/>
        </w:rPr>
        <w:t xml:space="preserve"> (4/1)</w:t>
      </w:r>
    </w:p>
    <w:p w14:paraId="4F2210F3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F - 17. listopadu 2172/15, 708 00 Ostrava-Poruba</w:t>
      </w:r>
      <w:r>
        <w:rPr>
          <w:rFonts w:ascii="Times New Roman" w:hAnsi="Times New Roman"/>
          <w:szCs w:val="22"/>
        </w:rPr>
        <w:t xml:space="preserve"> (4/0)</w:t>
      </w:r>
    </w:p>
    <w:p w14:paraId="68F11071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FEI - 17. listopadu 2172/15, 708 00 Ostrava-Poruba</w:t>
      </w:r>
      <w:r>
        <w:rPr>
          <w:rFonts w:ascii="Times New Roman" w:hAnsi="Times New Roman"/>
          <w:szCs w:val="22"/>
        </w:rPr>
        <w:t xml:space="preserve"> (5/1)</w:t>
      </w:r>
    </w:p>
    <w:p w14:paraId="0310BAE9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G - 17. listopadu 2172/15, 708 00 Ostrava-Poruba</w:t>
      </w:r>
      <w:r>
        <w:rPr>
          <w:rFonts w:ascii="Times New Roman" w:hAnsi="Times New Roman"/>
          <w:szCs w:val="22"/>
        </w:rPr>
        <w:t xml:space="preserve"> (4/0)</w:t>
      </w:r>
    </w:p>
    <w:p w14:paraId="33DF39C9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GP - 17. listopadu 2172/15, 708 00 Ostrava-Poruba</w:t>
      </w:r>
      <w:r>
        <w:rPr>
          <w:rFonts w:ascii="Times New Roman" w:hAnsi="Times New Roman"/>
          <w:szCs w:val="22"/>
        </w:rPr>
        <w:t xml:space="preserve"> (3/1)</w:t>
      </w:r>
    </w:p>
    <w:p w14:paraId="15B8B641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H - 17. listopadu 2172/15, 708 00 Ostrava-Poruba</w:t>
      </w:r>
      <w:r>
        <w:rPr>
          <w:rFonts w:ascii="Times New Roman" w:hAnsi="Times New Roman"/>
          <w:szCs w:val="22"/>
        </w:rPr>
        <w:t xml:space="preserve"> (4/0)</w:t>
      </w:r>
    </w:p>
    <w:p w14:paraId="6A34AB1C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IET - 17. listopadu 2172/15, 708 00 Ostrava-Poruba</w:t>
      </w:r>
      <w:r>
        <w:rPr>
          <w:rFonts w:ascii="Times New Roman" w:hAnsi="Times New Roman"/>
          <w:szCs w:val="22"/>
        </w:rPr>
        <w:t xml:space="preserve"> (3/0)</w:t>
      </w:r>
    </w:p>
    <w:p w14:paraId="019546AA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J - 17. listopadu 2172/15, 708 00 Ostrava-Poruba</w:t>
      </w:r>
      <w:r>
        <w:rPr>
          <w:rFonts w:ascii="Times New Roman" w:hAnsi="Times New Roman"/>
          <w:szCs w:val="22"/>
        </w:rPr>
        <w:t xml:space="preserve"> (4/1)</w:t>
      </w:r>
    </w:p>
    <w:p w14:paraId="56C4940A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K - 17. listopadu 2172/15, 708 00 Ostrava-Poruba</w:t>
      </w:r>
      <w:r>
        <w:rPr>
          <w:rFonts w:ascii="Times New Roman" w:hAnsi="Times New Roman"/>
          <w:szCs w:val="22"/>
        </w:rPr>
        <w:t xml:space="preserve"> (3/1)</w:t>
      </w:r>
    </w:p>
    <w:p w14:paraId="4E702AE2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L - 17. listopadu 2172/15, 708 00 Ostrava-Poruba</w:t>
      </w:r>
      <w:r>
        <w:rPr>
          <w:rFonts w:ascii="Times New Roman" w:hAnsi="Times New Roman"/>
          <w:szCs w:val="22"/>
        </w:rPr>
        <w:t xml:space="preserve"> (2/0)</w:t>
      </w:r>
    </w:p>
    <w:p w14:paraId="402A10F2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M - 17. listopadu 2172/15, 708 00 Ostrava-Poruba</w:t>
      </w:r>
      <w:r>
        <w:rPr>
          <w:rFonts w:ascii="Times New Roman" w:hAnsi="Times New Roman"/>
          <w:szCs w:val="22"/>
        </w:rPr>
        <w:t xml:space="preserve"> (3/1)</w:t>
      </w:r>
    </w:p>
    <w:p w14:paraId="28D8DC85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MS - 17. listopadu 2172/15, 708 00 Ostrava-Poruba</w:t>
      </w:r>
      <w:r>
        <w:rPr>
          <w:rFonts w:ascii="Times New Roman" w:hAnsi="Times New Roman"/>
          <w:szCs w:val="22"/>
        </w:rPr>
        <w:t xml:space="preserve"> (1/0)</w:t>
      </w:r>
    </w:p>
    <w:p w14:paraId="2290B488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TL3 - 17. listopadu 2172/15, 708 00 Ostrava-Poruba</w:t>
      </w:r>
      <w:r>
        <w:rPr>
          <w:rFonts w:ascii="Times New Roman" w:hAnsi="Times New Roman"/>
          <w:szCs w:val="22"/>
        </w:rPr>
        <w:t xml:space="preserve"> (3/1)</w:t>
      </w:r>
    </w:p>
    <w:p w14:paraId="246A938F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UA - 17. listopadu 2172/15, 708 00 Ostrava-Poruba</w:t>
      </w:r>
      <w:r>
        <w:rPr>
          <w:rFonts w:ascii="Times New Roman" w:hAnsi="Times New Roman"/>
          <w:szCs w:val="22"/>
        </w:rPr>
        <w:t xml:space="preserve"> (3/1)</w:t>
      </w:r>
    </w:p>
    <w:p w14:paraId="27AB99BC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UK - 17. listopadu 2172/15, 708 00 Ostrava-Poruba</w:t>
      </w:r>
      <w:r>
        <w:rPr>
          <w:rFonts w:ascii="Times New Roman" w:hAnsi="Times New Roman"/>
          <w:szCs w:val="22"/>
        </w:rPr>
        <w:t xml:space="preserve"> (5/1)</w:t>
      </w:r>
    </w:p>
    <w:p w14:paraId="7D359164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VEC - 17. listopadu 2172/15, 708 00 Ostrava-Poruba</w:t>
      </w:r>
      <w:r>
        <w:rPr>
          <w:rFonts w:ascii="Times New Roman" w:hAnsi="Times New Roman"/>
          <w:szCs w:val="22"/>
        </w:rPr>
        <w:t xml:space="preserve"> (1/0, 2/0, 3/0)</w:t>
      </w:r>
    </w:p>
    <w:p w14:paraId="0B17B034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VSH - 17. listopadu 2172/15, 708 00 Ostrava-Poruba</w:t>
      </w:r>
      <w:r>
        <w:rPr>
          <w:rFonts w:ascii="Times New Roman" w:hAnsi="Times New Roman"/>
          <w:szCs w:val="22"/>
        </w:rPr>
        <w:t xml:space="preserve"> (2/0)</w:t>
      </w:r>
    </w:p>
    <w:p w14:paraId="26CF6C92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Archiv Hladnov – Hladnovská 1435/18, 710 00 Slezská Ostrava</w:t>
      </w:r>
      <w:r>
        <w:rPr>
          <w:rFonts w:ascii="Times New Roman" w:hAnsi="Times New Roman"/>
          <w:szCs w:val="22"/>
        </w:rPr>
        <w:t xml:space="preserve"> (3/0)</w:t>
      </w:r>
    </w:p>
    <w:p w14:paraId="7E84E0EC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Areál hvězdárny a planetária – K Planetáriu 200/502, 725 26 Ostrava-Poruba</w:t>
      </w:r>
      <w:r>
        <w:rPr>
          <w:rFonts w:ascii="Times New Roman" w:hAnsi="Times New Roman"/>
          <w:szCs w:val="22"/>
        </w:rPr>
        <w:t xml:space="preserve"> (3/0)</w:t>
      </w:r>
    </w:p>
    <w:p w14:paraId="4AB5AD4D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Areál Krásnopolská – Krásnopolská 86/10, 708 00 Ostrava-Pustkovec</w:t>
      </w:r>
      <w:r>
        <w:rPr>
          <w:rFonts w:ascii="Times New Roman" w:hAnsi="Times New Roman"/>
          <w:szCs w:val="22"/>
        </w:rPr>
        <w:t xml:space="preserve"> (3/1)</w:t>
      </w:r>
    </w:p>
    <w:p w14:paraId="36C64EA5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FAST – Ludvíka Podéště 1875/17, 708 00 Ostrava-Poruba</w:t>
      </w:r>
      <w:r>
        <w:rPr>
          <w:rFonts w:ascii="Times New Roman" w:hAnsi="Times New Roman"/>
          <w:szCs w:val="22"/>
        </w:rPr>
        <w:t xml:space="preserve"> (komplex 11 vzájemně propojených budov od 1 po 6 nadpodlaží)</w:t>
      </w:r>
    </w:p>
    <w:p w14:paraId="70C3EA74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FBI – Lumírova 630/13, 700 30 Ostrava-Výškovice</w:t>
      </w:r>
      <w:r>
        <w:rPr>
          <w:rFonts w:ascii="Times New Roman" w:hAnsi="Times New Roman"/>
          <w:szCs w:val="22"/>
        </w:rPr>
        <w:t xml:space="preserve"> (komplex 6 vzájemně propojených budov od 2 a 3 nadpodlaží)</w:t>
      </w:r>
    </w:p>
    <w:p w14:paraId="27064E2A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N – Studentská 11, 708 00 Ostrava-Poruba</w:t>
      </w:r>
      <w:r>
        <w:rPr>
          <w:rFonts w:ascii="Times New Roman" w:hAnsi="Times New Roman"/>
          <w:szCs w:val="22"/>
        </w:rPr>
        <w:t xml:space="preserve"> (7/1)</w:t>
      </w:r>
    </w:p>
    <w:p w14:paraId="37F17BFF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Areál kolejí – Studentská 1770/1, 708 00 Ostrava-Poruba</w:t>
      </w:r>
      <w:r>
        <w:rPr>
          <w:rFonts w:ascii="Times New Roman" w:hAnsi="Times New Roman"/>
          <w:szCs w:val="22"/>
        </w:rPr>
        <w:t xml:space="preserve"> (komplex 5 vzájemně propojených budov od 7 po 13 nadpodlaží)</w:t>
      </w:r>
    </w:p>
    <w:p w14:paraId="462EBE34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T – Studentská 1770/1, 708 00 Ostrava-Poruba</w:t>
      </w:r>
      <w:r>
        <w:rPr>
          <w:rFonts w:ascii="Times New Roman" w:hAnsi="Times New Roman"/>
          <w:szCs w:val="22"/>
        </w:rPr>
        <w:t xml:space="preserve"> (2/1)</w:t>
      </w:r>
    </w:p>
    <w:p w14:paraId="0A439F32" w14:textId="77777777" w:rsidR="00C22057" w:rsidRPr="00BF3B2A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SH – Studentská 6175/5, 708 00 Ostrava-Poruba</w:t>
      </w:r>
      <w:r>
        <w:rPr>
          <w:rFonts w:ascii="Times New Roman" w:hAnsi="Times New Roman"/>
          <w:szCs w:val="22"/>
        </w:rPr>
        <w:t xml:space="preserve"> (2/0)</w:t>
      </w:r>
    </w:p>
    <w:p w14:paraId="5F3EED85" w14:textId="77777777" w:rsidR="00C22057" w:rsidRDefault="00C22057" w:rsidP="00C22057">
      <w:pPr>
        <w:pStyle w:val="VSBOdrka1"/>
        <w:tabs>
          <w:tab w:val="clear" w:pos="360"/>
        </w:tabs>
        <w:ind w:left="644" w:hanging="360"/>
        <w:rPr>
          <w:rFonts w:ascii="Times New Roman" w:hAnsi="Times New Roman"/>
          <w:szCs w:val="22"/>
        </w:rPr>
      </w:pPr>
      <w:r w:rsidRPr="00BF3B2A">
        <w:rPr>
          <w:rFonts w:ascii="Times New Roman" w:hAnsi="Times New Roman"/>
          <w:szCs w:val="22"/>
        </w:rPr>
        <w:t>CPI – Studentská 6202/17, 708 00 Ostrava-Poruba</w:t>
      </w:r>
      <w:r>
        <w:rPr>
          <w:rFonts w:ascii="Times New Roman" w:hAnsi="Times New Roman"/>
          <w:szCs w:val="22"/>
        </w:rPr>
        <w:t xml:space="preserve"> (3/0)</w:t>
      </w:r>
    </w:p>
    <w:p w14:paraId="7327522C" w14:textId="05979992" w:rsidR="00976781" w:rsidRPr="00C22057" w:rsidRDefault="00976781" w:rsidP="00C22057">
      <w:pPr>
        <w:pStyle w:val="VSBOdrka1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42A5849A" w14:textId="77777777" w:rsidR="00C22057" w:rsidRPr="00C22057" w:rsidRDefault="00C22057" w:rsidP="00C22057">
      <w:pPr>
        <w:pStyle w:val="VSBNormal"/>
      </w:pPr>
    </w:p>
    <w:sectPr w:rsidR="00C22057" w:rsidRPr="00C22057" w:rsidSect="0058667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7" w:bottom="1417" w:left="0" w:header="0" w:footer="0" w:gutter="141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A520" w14:textId="77777777" w:rsidR="0069009F" w:rsidRDefault="0069009F" w:rsidP="004641D9">
      <w:r>
        <w:separator/>
      </w:r>
    </w:p>
  </w:endnote>
  <w:endnote w:type="continuationSeparator" w:id="0">
    <w:p w14:paraId="5375BB25" w14:textId="77777777" w:rsidR="0069009F" w:rsidRDefault="0069009F" w:rsidP="0046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548740"/>
      <w:docPartObj>
        <w:docPartGallery w:val="Page Numbers (Bottom of Page)"/>
        <w:docPartUnique/>
      </w:docPartObj>
    </w:sdtPr>
    <w:sdtEndPr/>
    <w:sdtContent>
      <w:p w14:paraId="15A7F876" w14:textId="05E2D16A" w:rsidR="0058667C" w:rsidRDefault="005866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3F3">
          <w:rPr>
            <w:noProof/>
          </w:rPr>
          <w:t>1</w:t>
        </w:r>
        <w:r>
          <w:fldChar w:fldCharType="end"/>
        </w:r>
      </w:p>
    </w:sdtContent>
  </w:sdt>
  <w:p w14:paraId="67F37805" w14:textId="77777777" w:rsidR="0058667C" w:rsidRDefault="005866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710600"/>
      <w:docPartObj>
        <w:docPartGallery w:val="Page Numbers (Bottom of Page)"/>
        <w:docPartUnique/>
      </w:docPartObj>
    </w:sdtPr>
    <w:sdtEndPr/>
    <w:sdtContent>
      <w:p w14:paraId="2CA7327C" w14:textId="77777777" w:rsidR="0058667C" w:rsidRDefault="005866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89C42" w14:textId="77777777" w:rsidR="0058667C" w:rsidRDefault="005866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52BF3" w14:textId="77777777" w:rsidR="0069009F" w:rsidRDefault="0069009F" w:rsidP="004641D9">
      <w:r>
        <w:separator/>
      </w:r>
    </w:p>
  </w:footnote>
  <w:footnote w:type="continuationSeparator" w:id="0">
    <w:p w14:paraId="2B9AF67A" w14:textId="77777777" w:rsidR="0069009F" w:rsidRDefault="0069009F" w:rsidP="0046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DF8D" w14:textId="77777777" w:rsidR="00BF3B2A" w:rsidRDefault="00BF3B2A">
    <w:pPr>
      <w:pStyle w:val="Zhlav"/>
    </w:pPr>
  </w:p>
  <w:p w14:paraId="30861238" w14:textId="77777777" w:rsidR="00BF3B2A" w:rsidRDefault="00BF3B2A">
    <w:pPr>
      <w:pStyle w:val="Zhlav"/>
    </w:pPr>
  </w:p>
  <w:p w14:paraId="2275BAB3" w14:textId="77777777" w:rsidR="0058667C" w:rsidRPr="0058667C" w:rsidRDefault="0058667C" w:rsidP="0058667C">
    <w:pPr>
      <w:pStyle w:val="Zhlav"/>
      <w:jc w:val="right"/>
      <w:rPr>
        <w:i/>
      </w:rPr>
    </w:pPr>
    <w:r w:rsidRPr="0058667C">
      <w:rPr>
        <w:i/>
      </w:rP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C15B" w14:textId="77777777" w:rsidR="00BF3B2A" w:rsidRDefault="00BF3B2A">
    <w:pPr>
      <w:pStyle w:val="Zhlav"/>
      <w:rPr>
        <w:rFonts w:asciiTheme="minorHAnsi" w:hAnsiTheme="minorHAnsi" w:cstheme="minorHAnsi"/>
        <w:sz w:val="22"/>
        <w:szCs w:val="22"/>
      </w:rPr>
    </w:pPr>
  </w:p>
  <w:p w14:paraId="25CDA90A" w14:textId="77777777" w:rsidR="00BF3B2A" w:rsidRDefault="00BF3B2A">
    <w:pPr>
      <w:pStyle w:val="Zhlav"/>
      <w:rPr>
        <w:rFonts w:asciiTheme="minorHAnsi" w:hAnsiTheme="minorHAnsi" w:cstheme="minorHAnsi"/>
        <w:sz w:val="22"/>
        <w:szCs w:val="22"/>
      </w:rPr>
    </w:pPr>
  </w:p>
  <w:p w14:paraId="5DDA9B1B" w14:textId="77777777" w:rsidR="00BF3B2A" w:rsidRPr="00BF3B2A" w:rsidRDefault="00BF3B2A" w:rsidP="00BF3B2A">
    <w:pPr>
      <w:pStyle w:val="Zhlav"/>
      <w:jc w:val="right"/>
      <w:rPr>
        <w:i/>
      </w:rPr>
    </w:pPr>
    <w:r w:rsidRPr="00BF3B2A">
      <w:rPr>
        <w:i/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A59"/>
    <w:multiLevelType w:val="hybridMultilevel"/>
    <w:tmpl w:val="389AF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0CC"/>
    <w:multiLevelType w:val="hybridMultilevel"/>
    <w:tmpl w:val="2F425F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42766"/>
    <w:multiLevelType w:val="hybridMultilevel"/>
    <w:tmpl w:val="502E8408"/>
    <w:lvl w:ilvl="0" w:tplc="321E3470">
      <w:start w:val="1"/>
      <w:numFmt w:val="bullet"/>
      <w:pStyle w:val="VSBOdrka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7F1"/>
    <w:multiLevelType w:val="hybridMultilevel"/>
    <w:tmpl w:val="5066C7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E21CEE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A93E1BD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405F40"/>
    <w:multiLevelType w:val="multilevel"/>
    <w:tmpl w:val="127A1D92"/>
    <w:lvl w:ilvl="0">
      <w:start w:val="1"/>
      <w:numFmt w:val="decimal"/>
      <w:pStyle w:val="VSBNadpis1slovan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  <w:color w:val="auto"/>
        <w:sz w:val="32"/>
      </w:rPr>
    </w:lvl>
    <w:lvl w:ilvl="1">
      <w:start w:val="1"/>
      <w:numFmt w:val="decimal"/>
      <w:pStyle w:val="VSBNadpis2slovan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VSBNadpis3slovan"/>
      <w:lvlText w:val="%1.%2.%3"/>
      <w:lvlJc w:val="left"/>
      <w:pPr>
        <w:ind w:left="680" w:hanging="68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pStyle w:val="VSBNadpis4slovan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1AE5107"/>
    <w:multiLevelType w:val="hybridMultilevel"/>
    <w:tmpl w:val="70A02C4C"/>
    <w:lvl w:ilvl="0" w:tplc="BF1E549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7DC0"/>
    <w:multiLevelType w:val="hybridMultilevel"/>
    <w:tmpl w:val="57D022E6"/>
    <w:lvl w:ilvl="0" w:tplc="56F672AA">
      <w:start w:val="1"/>
      <w:numFmt w:val="lowerLetter"/>
      <w:pStyle w:val="VSBOdrkapsmena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B36EF"/>
    <w:multiLevelType w:val="hybridMultilevel"/>
    <w:tmpl w:val="6D50F3FC"/>
    <w:lvl w:ilvl="0" w:tplc="074E8B98">
      <w:start w:val="1"/>
      <w:numFmt w:val="bullet"/>
      <w:pStyle w:val="VSBOdrka1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81077"/>
    <w:multiLevelType w:val="hybridMultilevel"/>
    <w:tmpl w:val="857C5C44"/>
    <w:lvl w:ilvl="0" w:tplc="562AFF60">
      <w:start w:val="1"/>
      <w:numFmt w:val="bullet"/>
      <w:pStyle w:val="VSBOdrka3"/>
      <w:lvlText w:val="-"/>
      <w:lvlJc w:val="left"/>
      <w:pPr>
        <w:tabs>
          <w:tab w:val="num" w:pos="1701"/>
        </w:tabs>
        <w:ind w:left="1701" w:hanging="567"/>
      </w:pPr>
      <w:rPr>
        <w:rFonts w:hAnsi="Arial" w:hint="default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  <w:lvlOverride w:ilvl="0">
      <w:lvl w:ilvl="0">
        <w:start w:val="1"/>
        <w:numFmt w:val="decimal"/>
        <w:pStyle w:val="VSBNadpis1slovan"/>
        <w:lvlText w:val="%1."/>
        <w:lvlJc w:val="left"/>
        <w:pPr>
          <w:tabs>
            <w:tab w:val="num" w:pos="1589"/>
          </w:tabs>
          <w:ind w:left="1589" w:hanging="454"/>
        </w:pPr>
        <w:rPr>
          <w:rFonts w:ascii="Times New Roman" w:hAnsi="Times New Roman" w:cs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pStyle w:val="VSBNadpis2slovan"/>
        <w:lvlText w:val="%1.%2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pStyle w:val="VSBNadpis3slovan"/>
        <w:lvlText w:val="%1.%2.%3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VSBNadpis4slovan"/>
        <w:lvlText w:val="%1.%2.%3.%4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18"/>
    <w:rsid w:val="000A3BD2"/>
    <w:rsid w:val="000B35E8"/>
    <w:rsid w:val="000E1581"/>
    <w:rsid w:val="000E2218"/>
    <w:rsid w:val="000F73CE"/>
    <w:rsid w:val="001C3F64"/>
    <w:rsid w:val="001C5D69"/>
    <w:rsid w:val="002441AE"/>
    <w:rsid w:val="00255218"/>
    <w:rsid w:val="002D0B8D"/>
    <w:rsid w:val="002F342B"/>
    <w:rsid w:val="00343414"/>
    <w:rsid w:val="00351106"/>
    <w:rsid w:val="003837F0"/>
    <w:rsid w:val="003B0B74"/>
    <w:rsid w:val="003B4FF8"/>
    <w:rsid w:val="0040672F"/>
    <w:rsid w:val="0043449C"/>
    <w:rsid w:val="00442390"/>
    <w:rsid w:val="004641D9"/>
    <w:rsid w:val="00496032"/>
    <w:rsid w:val="004B0A41"/>
    <w:rsid w:val="00522E7F"/>
    <w:rsid w:val="005263E2"/>
    <w:rsid w:val="00542E23"/>
    <w:rsid w:val="005453BA"/>
    <w:rsid w:val="0058667C"/>
    <w:rsid w:val="005D4DAD"/>
    <w:rsid w:val="00686231"/>
    <w:rsid w:val="0069009F"/>
    <w:rsid w:val="00705E91"/>
    <w:rsid w:val="00787A73"/>
    <w:rsid w:val="0079548C"/>
    <w:rsid w:val="00815996"/>
    <w:rsid w:val="00815C63"/>
    <w:rsid w:val="00830765"/>
    <w:rsid w:val="00897230"/>
    <w:rsid w:val="00976781"/>
    <w:rsid w:val="0099480D"/>
    <w:rsid w:val="00A16ADC"/>
    <w:rsid w:val="00A20B3B"/>
    <w:rsid w:val="00A4342D"/>
    <w:rsid w:val="00A512EF"/>
    <w:rsid w:val="00A8474F"/>
    <w:rsid w:val="00B433B8"/>
    <w:rsid w:val="00BF379A"/>
    <w:rsid w:val="00BF3B2A"/>
    <w:rsid w:val="00C04760"/>
    <w:rsid w:val="00C144AD"/>
    <w:rsid w:val="00C22057"/>
    <w:rsid w:val="00C259AB"/>
    <w:rsid w:val="00C41C0A"/>
    <w:rsid w:val="00CC159B"/>
    <w:rsid w:val="00CD04DE"/>
    <w:rsid w:val="00D76DCC"/>
    <w:rsid w:val="00DA3992"/>
    <w:rsid w:val="00DD7C56"/>
    <w:rsid w:val="00E16E19"/>
    <w:rsid w:val="00E3226E"/>
    <w:rsid w:val="00E603F3"/>
    <w:rsid w:val="00F168ED"/>
    <w:rsid w:val="00F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D689D"/>
  <w15:docId w15:val="{0C24F563-7FDC-4323-9E18-1948947B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18"/>
    <w:pPr>
      <w:ind w:left="720"/>
      <w:contextualSpacing/>
    </w:pPr>
  </w:style>
  <w:style w:type="table" w:styleId="Mkatabulky">
    <w:name w:val="Table Grid"/>
    <w:basedOn w:val="Normlntabulka"/>
    <w:uiPriority w:val="59"/>
    <w:rsid w:val="0054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0B8D"/>
    <w:rPr>
      <w:color w:val="0000FF" w:themeColor="hyperlink"/>
      <w:u w:val="single"/>
    </w:rPr>
  </w:style>
  <w:style w:type="paragraph" w:customStyle="1" w:styleId="VSBOdrka2">
    <w:name w:val="VSBOdrážka2"/>
    <w:basedOn w:val="VSBNormal"/>
    <w:next w:val="VSBNormal"/>
    <w:link w:val="VSBOdrka2Char"/>
    <w:autoRedefine/>
    <w:qFormat/>
    <w:rsid w:val="00FB3E00"/>
    <w:pPr>
      <w:numPr>
        <w:numId w:val="7"/>
      </w:numPr>
      <w:tabs>
        <w:tab w:val="num" w:pos="360"/>
        <w:tab w:val="left" w:pos="1208"/>
      </w:tabs>
      <w:ind w:left="0" w:firstLine="0"/>
    </w:pPr>
  </w:style>
  <w:style w:type="character" w:customStyle="1" w:styleId="VSBOdrka2Char">
    <w:name w:val="VSBOdrážka2 Char"/>
    <w:link w:val="VSBOdrka2"/>
    <w:rsid w:val="00FB3E00"/>
    <w:rPr>
      <w:rFonts w:ascii="Calibri" w:hAnsi="Calibri" w:cs="Times New Roman"/>
      <w:noProof/>
      <w:szCs w:val="20"/>
      <w:lang w:val="en-US" w:eastAsia="cs-CZ"/>
    </w:rPr>
  </w:style>
  <w:style w:type="paragraph" w:customStyle="1" w:styleId="VSBOdrka3">
    <w:name w:val="VSBOdrážka3"/>
    <w:basedOn w:val="VSBNormal"/>
    <w:next w:val="VSBNormal"/>
    <w:link w:val="VSBOdrka3Char"/>
    <w:autoRedefine/>
    <w:qFormat/>
    <w:rsid w:val="00FB3E00"/>
    <w:pPr>
      <w:numPr>
        <w:numId w:val="8"/>
      </w:numPr>
      <w:tabs>
        <w:tab w:val="clear" w:pos="1701"/>
        <w:tab w:val="num" w:pos="360"/>
        <w:tab w:val="left" w:pos="1775"/>
      </w:tabs>
      <w:ind w:left="0" w:firstLine="0"/>
      <w:contextualSpacing/>
    </w:pPr>
  </w:style>
  <w:style w:type="character" w:customStyle="1" w:styleId="VSBOdrka3Char">
    <w:name w:val="VSBOdrážka3 Char"/>
    <w:link w:val="VSBOdrka3"/>
    <w:rsid w:val="00FB3E00"/>
    <w:rPr>
      <w:rFonts w:ascii="Calibri" w:hAnsi="Calibri" w:cs="Times New Roman"/>
      <w:noProof/>
      <w:szCs w:val="20"/>
      <w:lang w:val="en-US" w:eastAsia="cs-CZ"/>
    </w:rPr>
  </w:style>
  <w:style w:type="paragraph" w:customStyle="1" w:styleId="VSBOdrka1">
    <w:name w:val="VSBOdrážka1"/>
    <w:basedOn w:val="VSBNormal"/>
    <w:next w:val="VSBNormal"/>
    <w:link w:val="VSBOdrka1Char"/>
    <w:autoRedefine/>
    <w:qFormat/>
    <w:rsid w:val="00FB3E00"/>
    <w:pPr>
      <w:numPr>
        <w:numId w:val="5"/>
      </w:numPr>
      <w:tabs>
        <w:tab w:val="num" w:pos="360"/>
        <w:tab w:val="left" w:pos="641"/>
      </w:tabs>
      <w:ind w:left="0" w:firstLine="0"/>
    </w:pPr>
  </w:style>
  <w:style w:type="character" w:customStyle="1" w:styleId="VSBOdrka1Char">
    <w:name w:val="VSBOdrážka1 Char"/>
    <w:link w:val="VSBOdrka1"/>
    <w:locked/>
    <w:rsid w:val="00FB3E00"/>
    <w:rPr>
      <w:rFonts w:ascii="Calibri" w:hAnsi="Calibri" w:cs="Times New Roman"/>
      <w:noProof/>
      <w:szCs w:val="20"/>
      <w:lang w:val="en-US" w:eastAsia="cs-CZ"/>
    </w:rPr>
  </w:style>
  <w:style w:type="paragraph" w:customStyle="1" w:styleId="VSBOdrkapsmena">
    <w:name w:val="VSBOdrážka_písmena"/>
    <w:basedOn w:val="VSBNormal"/>
    <w:next w:val="VSBNormal"/>
    <w:autoRedefine/>
    <w:qFormat/>
    <w:rsid w:val="00FB3E00"/>
    <w:pPr>
      <w:numPr>
        <w:numId w:val="6"/>
      </w:numPr>
      <w:tabs>
        <w:tab w:val="num" w:pos="360"/>
      </w:tabs>
      <w:ind w:left="0" w:firstLine="0"/>
    </w:pPr>
  </w:style>
  <w:style w:type="paragraph" w:customStyle="1" w:styleId="VSBNormal">
    <w:name w:val="VSBNormal"/>
    <w:link w:val="VSBNormalChar"/>
    <w:autoRedefine/>
    <w:qFormat/>
    <w:rsid w:val="00FB3E00"/>
    <w:pPr>
      <w:widowControl w:val="0"/>
      <w:autoSpaceDE w:val="0"/>
      <w:autoSpaceDN w:val="0"/>
      <w:spacing w:after="0"/>
      <w:jc w:val="both"/>
    </w:pPr>
    <w:rPr>
      <w:rFonts w:ascii="Calibri" w:hAnsi="Calibri" w:cs="Times New Roman"/>
      <w:noProof/>
      <w:szCs w:val="20"/>
      <w:lang w:val="en-US" w:eastAsia="cs-CZ"/>
    </w:rPr>
  </w:style>
  <w:style w:type="character" w:customStyle="1" w:styleId="VSBNormalChar">
    <w:name w:val="VSBNormal Char"/>
    <w:basedOn w:val="Standardnpsmoodstavce"/>
    <w:link w:val="VSBNormal"/>
    <w:rsid w:val="00FB3E00"/>
    <w:rPr>
      <w:rFonts w:ascii="Calibri" w:hAnsi="Calibri" w:cs="Times New Roman"/>
      <w:noProof/>
      <w:szCs w:val="20"/>
      <w:lang w:val="en-US" w:eastAsia="cs-CZ"/>
    </w:rPr>
  </w:style>
  <w:style w:type="paragraph" w:customStyle="1" w:styleId="VSBNadpis1slovan">
    <w:name w:val="VSBNadpis1 číslovaný"/>
    <w:basedOn w:val="VSBNormal"/>
    <w:next w:val="VSBNormal"/>
    <w:autoRedefine/>
    <w:qFormat/>
    <w:rsid w:val="00BF3B2A"/>
    <w:pPr>
      <w:keepNext/>
      <w:numPr>
        <w:numId w:val="9"/>
      </w:numPr>
      <w:shd w:val="clear" w:color="auto" w:fill="FFFFFF"/>
      <w:tabs>
        <w:tab w:val="clear" w:pos="1589"/>
        <w:tab w:val="num" w:pos="454"/>
        <w:tab w:val="right" w:pos="567"/>
      </w:tabs>
      <w:spacing w:before="240" w:after="240" w:line="360" w:lineRule="auto"/>
      <w:ind w:left="454"/>
      <w:outlineLvl w:val="0"/>
    </w:pPr>
    <w:rPr>
      <w:rFonts w:ascii="Times New Roman" w:hAnsi="Times New Roman"/>
      <w:b/>
      <w:smallCaps/>
      <w:spacing w:val="20"/>
      <w:sz w:val="24"/>
      <w:szCs w:val="24"/>
    </w:rPr>
  </w:style>
  <w:style w:type="paragraph" w:customStyle="1" w:styleId="VSBNadpis3slovan">
    <w:name w:val="VSBNadpis3_číslovaný"/>
    <w:basedOn w:val="VSBNormal"/>
    <w:next w:val="VSBNormal"/>
    <w:autoRedefine/>
    <w:qFormat/>
    <w:rsid w:val="00FB3E00"/>
    <w:pPr>
      <w:keepNext/>
      <w:numPr>
        <w:ilvl w:val="2"/>
        <w:numId w:val="9"/>
      </w:numPr>
      <w:tabs>
        <w:tab w:val="clear" w:pos="454"/>
        <w:tab w:val="num" w:pos="360"/>
        <w:tab w:val="left" w:pos="1134"/>
      </w:tabs>
      <w:spacing w:before="240" w:after="240" w:line="360" w:lineRule="auto"/>
      <w:ind w:left="0" w:firstLine="0"/>
      <w:outlineLvl w:val="2"/>
    </w:pPr>
    <w:rPr>
      <w:spacing w:val="10"/>
      <w:sz w:val="24"/>
    </w:rPr>
  </w:style>
  <w:style w:type="paragraph" w:customStyle="1" w:styleId="VSBNadpis4slovan">
    <w:name w:val="VSBNadpis4_číslovaný"/>
    <w:basedOn w:val="VSBNormal"/>
    <w:next w:val="VSBNormal"/>
    <w:autoRedefine/>
    <w:qFormat/>
    <w:rsid w:val="00FB3E00"/>
    <w:pPr>
      <w:keepNext/>
      <w:numPr>
        <w:ilvl w:val="3"/>
        <w:numId w:val="9"/>
      </w:numPr>
      <w:tabs>
        <w:tab w:val="clear" w:pos="454"/>
        <w:tab w:val="num" w:pos="360"/>
        <w:tab w:val="left" w:pos="1247"/>
      </w:tabs>
      <w:spacing w:before="240" w:after="240" w:line="360" w:lineRule="auto"/>
      <w:ind w:left="0" w:firstLine="0"/>
      <w:outlineLvl w:val="3"/>
    </w:pPr>
    <w:rPr>
      <w:b/>
      <w:smallCaps/>
      <w:spacing w:val="6"/>
    </w:rPr>
  </w:style>
  <w:style w:type="paragraph" w:customStyle="1" w:styleId="VSBNadpis2slovan">
    <w:name w:val="VSBNadpis2_číslovaný"/>
    <w:basedOn w:val="VSBNormal"/>
    <w:next w:val="VSBNormal"/>
    <w:autoRedefine/>
    <w:qFormat/>
    <w:rsid w:val="00FB3E00"/>
    <w:pPr>
      <w:keepNext/>
      <w:numPr>
        <w:ilvl w:val="1"/>
        <w:numId w:val="9"/>
      </w:numPr>
      <w:tabs>
        <w:tab w:val="clear" w:pos="0"/>
        <w:tab w:val="num" w:pos="360"/>
        <w:tab w:val="left" w:pos="964"/>
      </w:tabs>
      <w:spacing w:before="240" w:after="120" w:line="360" w:lineRule="auto"/>
      <w:outlineLvl w:val="1"/>
    </w:pPr>
    <w:rPr>
      <w:b/>
      <w:sz w:val="28"/>
      <w:szCs w:val="22"/>
    </w:rPr>
  </w:style>
  <w:style w:type="paragraph" w:styleId="Zhlav">
    <w:name w:val="header"/>
    <w:basedOn w:val="Normln"/>
    <w:link w:val="ZhlavChar"/>
    <w:uiPriority w:val="99"/>
    <w:unhideWhenUsed/>
    <w:rsid w:val="00464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41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4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1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4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7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7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FCD1-8AD7-417C-A0F7-FB34D76E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kub732</dc:creator>
  <cp:lastModifiedBy>Ludmila Tatranska</cp:lastModifiedBy>
  <cp:revision>4</cp:revision>
  <dcterms:created xsi:type="dcterms:W3CDTF">2021-02-07T18:08:00Z</dcterms:created>
  <dcterms:modified xsi:type="dcterms:W3CDTF">2021-02-08T13:47:00Z</dcterms:modified>
</cp:coreProperties>
</file>