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474A6" w14:textId="72B3D00E"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4B551B">
        <w:rPr>
          <w:rFonts w:asciiTheme="minorHAnsi" w:hAnsiTheme="minorHAnsi"/>
          <w:color w:val="0000FF"/>
          <w:sz w:val="22"/>
          <w:szCs w:val="22"/>
        </w:rPr>
        <w:t>2</w:t>
      </w:r>
      <w:r w:rsidR="00E57871">
        <w:rPr>
          <w:rFonts w:asciiTheme="minorHAnsi" w:hAnsiTheme="minorHAnsi"/>
          <w:color w:val="0000FF"/>
          <w:sz w:val="22"/>
          <w:szCs w:val="22"/>
        </w:rPr>
        <w:t>38</w:t>
      </w:r>
      <w:r w:rsidRPr="003B41A3">
        <w:rPr>
          <w:rFonts w:asciiTheme="minorHAnsi" w:hAnsiTheme="minorHAnsi"/>
          <w:color w:val="0000FF"/>
          <w:sz w:val="22"/>
          <w:szCs w:val="22"/>
        </w:rPr>
        <w:t>/</w:t>
      </w:r>
      <w:r w:rsidR="00985B26">
        <w:rPr>
          <w:rFonts w:asciiTheme="minorHAnsi" w:hAnsiTheme="minorHAnsi"/>
          <w:color w:val="0000FF"/>
          <w:sz w:val="22"/>
          <w:szCs w:val="22"/>
        </w:rPr>
        <w:t>20</w:t>
      </w:r>
      <w:r w:rsidRPr="003B41A3">
        <w:rPr>
          <w:rFonts w:asciiTheme="minorHAnsi" w:hAnsiTheme="minorHAnsi"/>
          <w:color w:val="0000FF"/>
          <w:sz w:val="22"/>
          <w:szCs w:val="22"/>
        </w:rPr>
        <w:t>-9560-01</w:t>
      </w:r>
    </w:p>
    <w:p w14:paraId="543BF213" w14:textId="77777777" w:rsidR="00556A41" w:rsidRDefault="00556A41" w:rsidP="00A22A29">
      <w:pPr>
        <w:spacing w:line="276" w:lineRule="auto"/>
        <w:jc w:val="center"/>
        <w:rPr>
          <w:rFonts w:asciiTheme="minorHAnsi" w:hAnsiTheme="minorHAnsi"/>
          <w:b/>
          <w:sz w:val="36"/>
          <w:szCs w:val="36"/>
        </w:rPr>
      </w:pPr>
    </w:p>
    <w:p w14:paraId="1AC2A0B7"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379C4FD8"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02AFD043" w14:textId="5A93E7DD"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263335">
        <w:rPr>
          <w:rFonts w:asciiTheme="minorHAnsi" w:hAnsiTheme="minorHAnsi"/>
          <w:b/>
          <w:i/>
        </w:rPr>
        <w:t xml:space="preserve"> </w:t>
      </w:r>
      <w:r w:rsidR="0016098C" w:rsidRPr="0016098C">
        <w:rPr>
          <w:rFonts w:asciiTheme="minorHAnsi" w:hAnsiTheme="minorHAnsi"/>
          <w:b/>
          <w:i/>
        </w:rPr>
        <w:t xml:space="preserve">techniky </w:t>
      </w:r>
      <w:r w:rsidR="00E57871">
        <w:rPr>
          <w:rFonts w:asciiTheme="minorHAnsi" w:hAnsiTheme="minorHAnsi"/>
          <w:b/>
          <w:i/>
        </w:rPr>
        <w:t>6</w:t>
      </w:r>
      <w:r w:rsidR="004B551B">
        <w:rPr>
          <w:rFonts w:asciiTheme="minorHAnsi" w:hAnsiTheme="minorHAnsi"/>
          <w:b/>
          <w:i/>
        </w:rPr>
        <w:t>6</w:t>
      </w:r>
      <w:r w:rsidR="0016098C" w:rsidRPr="0016098C">
        <w:rPr>
          <w:rFonts w:asciiTheme="minorHAnsi" w:hAnsiTheme="minorHAnsi"/>
          <w:b/>
          <w:i/>
        </w:rPr>
        <w:t>/20</w:t>
      </w:r>
      <w:r w:rsidR="00985B26">
        <w:rPr>
          <w:rFonts w:asciiTheme="minorHAnsi" w:hAnsiTheme="minorHAnsi"/>
          <w:b/>
          <w:i/>
        </w:rPr>
        <w:t>20</w:t>
      </w:r>
    </w:p>
    <w:p w14:paraId="2DD5560F"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6C534E5F" w14:textId="77777777" w:rsidR="00B61944" w:rsidRPr="00CE1623" w:rsidRDefault="00B61944">
      <w:pPr>
        <w:pStyle w:val="Zkladntext"/>
        <w:jc w:val="center"/>
        <w:rPr>
          <w:rFonts w:asciiTheme="minorHAnsi" w:hAnsiTheme="minorHAnsi"/>
          <w:b/>
          <w:sz w:val="22"/>
          <w:szCs w:val="22"/>
        </w:rPr>
      </w:pPr>
    </w:p>
    <w:p w14:paraId="52F289F2"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3DA2F76F"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FFB3418"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530A3D3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4ADBE955"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7193471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A1BBFD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559C27DF"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62B284C1"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759BCBC8"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74E5B888"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2BE5236E"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108D0DB4"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0E536499"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3046E985"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2B79660A"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B4C557D"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A787DAA"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B79DA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CB7580A"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0B962B5"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30C82F7"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1208DC9B" w14:textId="77777777" w:rsidR="00B61944" w:rsidRPr="00CE1623" w:rsidRDefault="00B61944">
      <w:pPr>
        <w:numPr>
          <w:ilvl w:val="12"/>
          <w:numId w:val="0"/>
        </w:numPr>
        <w:ind w:firstLine="360"/>
        <w:jc w:val="both"/>
        <w:rPr>
          <w:rFonts w:asciiTheme="minorHAnsi" w:hAnsiTheme="minorHAnsi"/>
          <w:sz w:val="22"/>
          <w:szCs w:val="22"/>
        </w:rPr>
      </w:pPr>
    </w:p>
    <w:p w14:paraId="7903D37D"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22D5678F"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6FF2AA3E"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4B7A0FCC" w14:textId="3DAAA8EC"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15447F">
        <w:rPr>
          <w:rFonts w:asciiTheme="minorHAnsi" w:hAnsiTheme="minorHAnsi"/>
          <w:bCs/>
          <w:sz w:val="22"/>
          <w:szCs w:val="22"/>
        </w:rPr>
        <w:t>IT</w:t>
      </w:r>
      <w:r w:rsidR="00263335" w:rsidRPr="0015447F">
        <w:rPr>
          <w:rFonts w:asciiTheme="minorHAnsi" w:hAnsiTheme="minorHAnsi"/>
          <w:bCs/>
          <w:sz w:val="22"/>
          <w:szCs w:val="22"/>
        </w:rPr>
        <w:t xml:space="preserve"> </w:t>
      </w:r>
      <w:r w:rsidR="00865404" w:rsidRPr="0015447F">
        <w:rPr>
          <w:rFonts w:asciiTheme="minorHAnsi" w:hAnsiTheme="minorHAnsi"/>
          <w:bCs/>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24BCE7F1"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7E1AD26D"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6607A38B" w14:textId="77777777" w:rsidR="009B0A90" w:rsidRDefault="009B0A90" w:rsidP="009B0A90"/>
    <w:p w14:paraId="4E1A06C1"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5781EC3C" w14:textId="77777777"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2E5096A2" w14:textId="77777777"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 xml:space="preserve">Dodávky IT + AV techniky </w:t>
      </w:r>
      <w:proofErr w:type="gramStart"/>
      <w:r w:rsidR="00865404" w:rsidRPr="00865404">
        <w:rPr>
          <w:rFonts w:asciiTheme="minorHAnsi" w:hAnsiTheme="minorHAnsi" w:cs="Times New Roman"/>
          <w:bCs/>
          <w:i/>
        </w:rPr>
        <w:t>2019 - 2022</w:t>
      </w:r>
      <w:proofErr w:type="gramEnd"/>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64AFA0B6"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40B55A7B"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085CFDE6"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72851287"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7624CB29"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7C92E97D"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2B145B8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4707C193"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0F9A1074"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2475E2C5"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598974FC"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0959C416"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3C43FFB"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2AD75EAB"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2357A1D6"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73E84ECE"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32241A4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E1160A0"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6BB4A87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0CB11031"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7FC6EB9B"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0D49A846"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5DC94EC8"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VI.</w:t>
      </w:r>
    </w:p>
    <w:p w14:paraId="0EE04831"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4D3E4B1A"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69D41356"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07F6C3DB"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0C45478"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26E94401"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5DE2ADFB"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5C396B4C"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21D618C7"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2D815FCA"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57448586" w14:textId="77777777"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7AC347E8"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30AA9481"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1B0FF135"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4DA537A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5654BA63"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0B7F55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2EEF0C4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23B69B85"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2F78F8BC"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4EEB1FB5"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2D2C53AC"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1892BD10"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506BBE8B"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5079A905"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66560C71"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lastRenderedPageBreak/>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0E282CE9"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364FA2AA"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8201A31"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729999BF"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09AC2D53"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2D538339"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77DDF2C7"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18B7AAA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591B04A9"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7C8EBD7A"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0B07FBB7"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4C5061D6"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42C63E16"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4A48A8AF"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607C217B"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151D58B5"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21E0D63F"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4987F518"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7FD27B1F"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48CA598F"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15DAA230"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7F8CB9BD"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54BE919A" w14:textId="77777777" w:rsidR="00B61944" w:rsidRPr="00CE1623" w:rsidRDefault="00556A41" w:rsidP="009B0A90">
      <w:pPr>
        <w:pStyle w:val="Smlouva2"/>
        <w:widowControl/>
        <w:tabs>
          <w:tab w:val="left" w:pos="540"/>
          <w:tab w:val="left" w:pos="1260"/>
          <w:tab w:val="left" w:pos="1980"/>
          <w:tab w:val="left" w:pos="3960"/>
        </w:tabs>
        <w:spacing w:before="240"/>
        <w:rPr>
          <w:rFonts w:asciiTheme="minorHAnsi" w:hAnsiTheme="minorHAnsi"/>
          <w:sz w:val="22"/>
          <w:szCs w:val="22"/>
        </w:rPr>
      </w:pPr>
      <w:r>
        <w:rPr>
          <w:rFonts w:asciiTheme="minorHAnsi" w:hAnsiTheme="minorHAnsi"/>
          <w:sz w:val="22"/>
          <w:szCs w:val="22"/>
        </w:rPr>
        <w:br w:type="column"/>
      </w:r>
      <w:r w:rsidR="00B61944" w:rsidRPr="00CE1623">
        <w:rPr>
          <w:rFonts w:asciiTheme="minorHAnsi" w:hAnsiTheme="minorHAnsi"/>
          <w:sz w:val="22"/>
          <w:szCs w:val="22"/>
        </w:rPr>
        <w:lastRenderedPageBreak/>
        <w:t>XI.</w:t>
      </w:r>
    </w:p>
    <w:p w14:paraId="2DE4AA39"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3863080D"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A38AF2B"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7BA4D34B"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7D4AD9CE"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3B92B3E4"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60BF5A4"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13DB56D1"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609E5947"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35D3F25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F044BD2" w14:textId="62D99CD5"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F71640">
        <w:rPr>
          <w:rFonts w:asciiTheme="minorHAnsi" w:hAnsiTheme="minorHAnsi"/>
          <w:sz w:val="22"/>
          <w:szCs w:val="22"/>
        </w:rPr>
        <w:t>do 3 </w:t>
      </w:r>
      <w:r w:rsidR="007A7447" w:rsidRPr="00CE1623">
        <w:rPr>
          <w:rFonts w:asciiTheme="minorHAnsi" w:hAnsiTheme="minorHAnsi"/>
          <w:sz w:val="22"/>
          <w:szCs w:val="22"/>
        </w:rPr>
        <w:t>pracovní</w:t>
      </w:r>
      <w:r w:rsidR="00F71640">
        <w:rPr>
          <w:rFonts w:asciiTheme="minorHAnsi" w:hAnsiTheme="minorHAnsi"/>
          <w:sz w:val="22"/>
          <w:szCs w:val="22"/>
        </w:rPr>
        <w:t>ch</w:t>
      </w:r>
      <w:r w:rsidR="007A7447" w:rsidRPr="00CE1623">
        <w:rPr>
          <w:rFonts w:asciiTheme="minorHAnsi" w:hAnsiTheme="minorHAnsi"/>
          <w:sz w:val="22"/>
          <w:szCs w:val="22"/>
        </w:rPr>
        <w:t xml:space="preserve"> d</w:t>
      </w:r>
      <w:r w:rsidR="00F71640">
        <w:rPr>
          <w:rFonts w:asciiTheme="minorHAnsi" w:hAnsiTheme="minorHAnsi"/>
          <w:sz w:val="22"/>
          <w:szCs w:val="22"/>
        </w:rPr>
        <w:t>nů</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02DD7FD3"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067D6E8A" w14:textId="77777777"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1506500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2E399167"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718BD7B9"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1CDFB85A"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4DB0125C"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76BD4011"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54FB48D"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6DCE601C"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2149F8AD" w14:textId="77777777"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2DD5CAE8" w14:textId="77777777"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w:t>
      </w:r>
      <w:proofErr w:type="gramStart"/>
      <w:r w:rsidR="005C79A8" w:rsidRPr="00CE1623">
        <w:rPr>
          <w:rFonts w:asciiTheme="minorHAnsi" w:hAnsiTheme="minorHAnsi"/>
          <w:sz w:val="22"/>
          <w:szCs w:val="22"/>
        </w:rPr>
        <w:t>0,0</w:t>
      </w:r>
      <w:r w:rsidR="00DD2AEB" w:rsidRPr="00CE1623">
        <w:rPr>
          <w:rFonts w:asciiTheme="minorHAnsi" w:hAnsiTheme="minorHAnsi"/>
          <w:sz w:val="22"/>
          <w:szCs w:val="22"/>
        </w:rPr>
        <w:t>2</w:t>
      </w:r>
      <w:r w:rsidR="005C79A8" w:rsidRPr="00CE1623">
        <w:rPr>
          <w:rFonts w:asciiTheme="minorHAnsi" w:hAnsiTheme="minorHAnsi"/>
          <w:sz w:val="22"/>
          <w:szCs w:val="22"/>
        </w:rPr>
        <w:t>%</w:t>
      </w:r>
      <w:proofErr w:type="gramEnd"/>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DD5F9BF"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14DB21E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35B15F95"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70ACB2D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2C55C889"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71FAEEEE"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42AD2562"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07800370"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55108334" w14:textId="77777777"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75863F79" w14:textId="77777777"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14:paraId="3A3E0024"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7798303A" w14:textId="77777777" w:rsidR="00F71BA1" w:rsidRDefault="00F71BA1" w:rsidP="00F71BA1">
      <w:pPr>
        <w:pStyle w:val="Zkladntextodsazen"/>
        <w:tabs>
          <w:tab w:val="clear" w:pos="357"/>
          <w:tab w:val="clear" w:pos="540"/>
        </w:tabs>
        <w:spacing w:before="120"/>
        <w:ind w:right="71"/>
        <w:rPr>
          <w:rFonts w:asciiTheme="minorHAnsi" w:hAnsiTheme="minorHAnsi"/>
          <w:sz w:val="22"/>
          <w:szCs w:val="22"/>
        </w:rPr>
      </w:pPr>
    </w:p>
    <w:p w14:paraId="247F2865" w14:textId="77777777" w:rsidR="00F71BA1" w:rsidRPr="00CE1623" w:rsidRDefault="00F71BA1" w:rsidP="00F71BA1">
      <w:pPr>
        <w:pStyle w:val="Zkladntextodsazen"/>
        <w:tabs>
          <w:tab w:val="clear" w:pos="357"/>
          <w:tab w:val="clear" w:pos="540"/>
        </w:tabs>
        <w:spacing w:before="120"/>
        <w:ind w:right="71"/>
        <w:rPr>
          <w:rFonts w:asciiTheme="minorHAnsi" w:hAnsiTheme="minorHAnsi"/>
          <w:sz w:val="22"/>
          <w:szCs w:val="22"/>
        </w:rPr>
      </w:pPr>
    </w:p>
    <w:p w14:paraId="3D3D5FF7" w14:textId="77777777" w:rsidR="001F0B9D" w:rsidRPr="001F0B9D" w:rsidRDefault="00556A41"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Pr>
          <w:rFonts w:asciiTheme="minorHAnsi" w:hAnsiTheme="minorHAnsi"/>
          <w:b/>
          <w:sz w:val="22"/>
          <w:szCs w:val="22"/>
        </w:rPr>
        <w:br w:type="column"/>
      </w:r>
      <w:r w:rsidR="001F0B9D" w:rsidRPr="001F0B9D">
        <w:rPr>
          <w:rFonts w:asciiTheme="minorHAnsi" w:hAnsiTheme="minorHAnsi"/>
          <w:b/>
          <w:sz w:val="22"/>
          <w:szCs w:val="22"/>
        </w:rPr>
        <w:lastRenderedPageBreak/>
        <w:t>XV.</w:t>
      </w:r>
    </w:p>
    <w:p w14:paraId="76976630"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29382903"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6A8A2F61"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52488D87"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446A6675"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40E97E5B"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58A13975"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3C261386"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1BC7C33D"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89a zák. č. 99/1963 Sb., občanský soudní řád, že ve věcech souvisejících s jednotlivými smlouvami uzavíranými mezi kupujícím a prodávajícím, bude v prvém stupni v případě věcné příslušnosti okresního soudu pro </w:t>
      </w:r>
      <w:proofErr w:type="gramStart"/>
      <w:r w:rsidRPr="001F0B9D">
        <w:rPr>
          <w:rFonts w:asciiTheme="minorHAnsi" w:hAnsiTheme="minorHAnsi"/>
          <w:sz w:val="22"/>
          <w:szCs w:val="22"/>
        </w:rPr>
        <w:t>ten</w:t>
      </w:r>
      <w:proofErr w:type="gramEnd"/>
      <w:r w:rsidRPr="001F0B9D">
        <w:rPr>
          <w:rFonts w:asciiTheme="minorHAnsi" w:hAnsiTheme="minorHAnsi"/>
          <w:sz w:val="22"/>
          <w:szCs w:val="22"/>
        </w:rPr>
        <w:t xml:space="preserve"> který případ místně příslušným Okresní soud dle sídla kupujícího a v případě věcné příslušnosti krajského soudu pro ten který případ, bude místně příslušným Krajský soud v Ostravě.</w:t>
      </w:r>
    </w:p>
    <w:p w14:paraId="5999C08B"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7A7C75F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13C6DDBA"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w:t>
      </w:r>
      <w:r w:rsidRPr="001F0B9D">
        <w:rPr>
          <w:rFonts w:asciiTheme="minorHAnsi" w:hAnsiTheme="minorHAnsi"/>
          <w:sz w:val="22"/>
          <w:szCs w:val="22"/>
        </w:rPr>
        <w:lastRenderedPageBreak/>
        <w:t xml:space="preserve">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4F34DD3F"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3A1887F6"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5A24CC8C"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50C7EB14"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20923E67"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2570AA9E"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6E4E47E3"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4C28BD29" w14:textId="77777777" w:rsidR="001F0B9D" w:rsidRPr="001F0B9D" w:rsidRDefault="001F0B9D" w:rsidP="001F0B9D">
      <w:pPr>
        <w:tabs>
          <w:tab w:val="left" w:pos="567"/>
          <w:tab w:val="left" w:pos="1701"/>
        </w:tabs>
        <w:rPr>
          <w:rFonts w:asciiTheme="minorHAnsi" w:hAnsiTheme="minorHAnsi"/>
          <w:sz w:val="22"/>
          <w:szCs w:val="22"/>
        </w:rPr>
      </w:pPr>
    </w:p>
    <w:p w14:paraId="51EDA4BC"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24D5AE25" w14:textId="77777777" w:rsidR="001F0B9D" w:rsidRPr="001F0B9D" w:rsidRDefault="001F0B9D" w:rsidP="001F0B9D">
      <w:pPr>
        <w:tabs>
          <w:tab w:val="right" w:pos="4750"/>
          <w:tab w:val="right" w:pos="5606"/>
        </w:tabs>
        <w:ind w:left="70"/>
        <w:rPr>
          <w:rFonts w:asciiTheme="minorHAnsi" w:hAnsiTheme="minorHAnsi"/>
          <w:sz w:val="22"/>
          <w:szCs w:val="22"/>
        </w:rPr>
      </w:pPr>
    </w:p>
    <w:p w14:paraId="34867FDC" w14:textId="77777777" w:rsidR="001F0B9D" w:rsidRPr="001F0B9D" w:rsidRDefault="001F0B9D" w:rsidP="001F0B9D">
      <w:pPr>
        <w:tabs>
          <w:tab w:val="right" w:pos="4750"/>
          <w:tab w:val="right" w:pos="5606"/>
        </w:tabs>
        <w:ind w:left="70"/>
        <w:rPr>
          <w:rFonts w:asciiTheme="minorHAnsi" w:hAnsiTheme="minorHAnsi"/>
          <w:sz w:val="22"/>
          <w:szCs w:val="22"/>
        </w:rPr>
      </w:pPr>
    </w:p>
    <w:p w14:paraId="26E3DA2A" w14:textId="77777777" w:rsidR="001F0B9D" w:rsidRPr="001F0B9D" w:rsidRDefault="001F0B9D" w:rsidP="001F0B9D">
      <w:pPr>
        <w:tabs>
          <w:tab w:val="right" w:pos="4750"/>
          <w:tab w:val="right" w:pos="5606"/>
        </w:tabs>
        <w:ind w:left="70"/>
        <w:rPr>
          <w:rFonts w:asciiTheme="minorHAnsi" w:hAnsiTheme="minorHAnsi"/>
          <w:sz w:val="22"/>
          <w:szCs w:val="22"/>
        </w:rPr>
      </w:pPr>
    </w:p>
    <w:p w14:paraId="0E353C6D" w14:textId="77777777" w:rsidR="001F0B9D" w:rsidRPr="001F0B9D" w:rsidRDefault="001F0B9D" w:rsidP="001F0B9D">
      <w:pPr>
        <w:tabs>
          <w:tab w:val="right" w:pos="4750"/>
          <w:tab w:val="right" w:pos="5606"/>
        </w:tabs>
        <w:ind w:left="70"/>
        <w:rPr>
          <w:rFonts w:asciiTheme="minorHAnsi" w:hAnsiTheme="minorHAnsi"/>
          <w:sz w:val="22"/>
          <w:szCs w:val="22"/>
        </w:rPr>
      </w:pPr>
    </w:p>
    <w:p w14:paraId="2B5BD9CC" w14:textId="77777777" w:rsidR="001F0B9D" w:rsidRPr="001F0B9D" w:rsidRDefault="001F0B9D" w:rsidP="001F0B9D">
      <w:pPr>
        <w:tabs>
          <w:tab w:val="right" w:pos="4750"/>
          <w:tab w:val="right" w:pos="5606"/>
        </w:tabs>
        <w:ind w:left="70"/>
        <w:rPr>
          <w:rFonts w:asciiTheme="minorHAnsi" w:hAnsiTheme="minorHAnsi"/>
          <w:sz w:val="22"/>
          <w:szCs w:val="22"/>
        </w:rPr>
      </w:pPr>
    </w:p>
    <w:p w14:paraId="7DBF236C"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28BEEEE8"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3FDFF9BF"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0E7CE876"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31D06" w14:textId="77777777" w:rsidR="00DD5918" w:rsidRDefault="00DD5918">
      <w:r>
        <w:separator/>
      </w:r>
    </w:p>
  </w:endnote>
  <w:endnote w:type="continuationSeparator" w:id="0">
    <w:p w14:paraId="587674C0" w14:textId="77777777" w:rsidR="00DD5918" w:rsidRDefault="00DD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5AA4" w14:textId="77777777" w:rsidR="00891F8A" w:rsidRDefault="00891F8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4A0F8E7" w14:textId="77777777" w:rsidR="00891F8A" w:rsidRDefault="00891F8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C9B15" w14:textId="77777777" w:rsidR="00891F8A" w:rsidRDefault="00891F8A"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Pr="00840056">
      <w:rPr>
        <w:b/>
        <w:bCs/>
        <w:i/>
        <w:sz w:val="22"/>
        <w:szCs w:val="22"/>
      </w:rPr>
      <w:fldChar w:fldCharType="begin"/>
    </w:r>
    <w:r w:rsidRPr="00840056">
      <w:rPr>
        <w:b/>
        <w:bCs/>
        <w:i/>
        <w:sz w:val="22"/>
        <w:szCs w:val="22"/>
      </w:rPr>
      <w:instrText>PAGE</w:instrText>
    </w:r>
    <w:r w:rsidRPr="00840056">
      <w:rPr>
        <w:b/>
        <w:bCs/>
        <w:i/>
        <w:sz w:val="22"/>
        <w:szCs w:val="22"/>
      </w:rPr>
      <w:fldChar w:fldCharType="separate"/>
    </w:r>
    <w:r>
      <w:rPr>
        <w:b/>
        <w:bCs/>
        <w:i/>
        <w:noProof/>
        <w:sz w:val="22"/>
        <w:szCs w:val="22"/>
      </w:rPr>
      <w:t>3</w:t>
    </w:r>
    <w:r w:rsidRPr="00840056">
      <w:rPr>
        <w:b/>
        <w:bCs/>
        <w:i/>
        <w:sz w:val="22"/>
        <w:szCs w:val="22"/>
      </w:rPr>
      <w:fldChar w:fldCharType="end"/>
    </w:r>
    <w:r w:rsidRPr="00840056">
      <w:rPr>
        <w:i/>
        <w:sz w:val="22"/>
        <w:szCs w:val="22"/>
      </w:rPr>
      <w:t xml:space="preserve"> z </w:t>
    </w:r>
    <w:r w:rsidRPr="00840056">
      <w:rPr>
        <w:b/>
        <w:bCs/>
        <w:i/>
        <w:sz w:val="22"/>
        <w:szCs w:val="22"/>
      </w:rPr>
      <w:fldChar w:fldCharType="begin"/>
    </w:r>
    <w:r w:rsidRPr="00840056">
      <w:rPr>
        <w:b/>
        <w:bCs/>
        <w:i/>
        <w:sz w:val="22"/>
        <w:szCs w:val="22"/>
      </w:rPr>
      <w:instrText>NUMPAGES</w:instrText>
    </w:r>
    <w:r w:rsidRPr="00840056">
      <w:rPr>
        <w:b/>
        <w:bCs/>
        <w:i/>
        <w:sz w:val="22"/>
        <w:szCs w:val="22"/>
      </w:rPr>
      <w:fldChar w:fldCharType="separate"/>
    </w:r>
    <w:r>
      <w:rPr>
        <w:b/>
        <w:bCs/>
        <w:i/>
        <w:noProof/>
        <w:sz w:val="22"/>
        <w:szCs w:val="22"/>
      </w:rPr>
      <w:t>8</w:t>
    </w:r>
    <w:r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DEF9E" w14:textId="77777777" w:rsidR="00DD5918" w:rsidRDefault="00DD5918">
      <w:r>
        <w:separator/>
      </w:r>
    </w:p>
  </w:footnote>
  <w:footnote w:type="continuationSeparator" w:id="0">
    <w:p w14:paraId="14B8827A" w14:textId="77777777" w:rsidR="00DD5918" w:rsidRDefault="00DD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90D5" w14:textId="77777777" w:rsidR="00891F8A" w:rsidRDefault="00891F8A"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9689" w14:textId="77777777" w:rsidR="00891F8A" w:rsidRDefault="00891F8A"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6CD5"/>
    <w:rsid w:val="000477B9"/>
    <w:rsid w:val="00047A51"/>
    <w:rsid w:val="00047FF0"/>
    <w:rsid w:val="0005184A"/>
    <w:rsid w:val="000522DA"/>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E78FD"/>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279B"/>
    <w:rsid w:val="00146E54"/>
    <w:rsid w:val="00147059"/>
    <w:rsid w:val="001473E0"/>
    <w:rsid w:val="00147CE5"/>
    <w:rsid w:val="00150033"/>
    <w:rsid w:val="001515CE"/>
    <w:rsid w:val="00152C03"/>
    <w:rsid w:val="00153B63"/>
    <w:rsid w:val="0015447F"/>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72B8"/>
    <w:rsid w:val="0024199F"/>
    <w:rsid w:val="00244D93"/>
    <w:rsid w:val="00247736"/>
    <w:rsid w:val="00251C26"/>
    <w:rsid w:val="00252677"/>
    <w:rsid w:val="0025431D"/>
    <w:rsid w:val="0026069C"/>
    <w:rsid w:val="00263166"/>
    <w:rsid w:val="00263335"/>
    <w:rsid w:val="0026590D"/>
    <w:rsid w:val="0027181A"/>
    <w:rsid w:val="00271922"/>
    <w:rsid w:val="0027243F"/>
    <w:rsid w:val="002772F2"/>
    <w:rsid w:val="00290697"/>
    <w:rsid w:val="0029388D"/>
    <w:rsid w:val="00297D61"/>
    <w:rsid w:val="002A2BB6"/>
    <w:rsid w:val="002A31E7"/>
    <w:rsid w:val="002B3DC6"/>
    <w:rsid w:val="002C06BC"/>
    <w:rsid w:val="002C09FB"/>
    <w:rsid w:val="002C10FC"/>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42BC1"/>
    <w:rsid w:val="0034498B"/>
    <w:rsid w:val="00346E17"/>
    <w:rsid w:val="00350380"/>
    <w:rsid w:val="0035045D"/>
    <w:rsid w:val="00350574"/>
    <w:rsid w:val="003520A6"/>
    <w:rsid w:val="00354E6B"/>
    <w:rsid w:val="00355045"/>
    <w:rsid w:val="0035650D"/>
    <w:rsid w:val="00357CA9"/>
    <w:rsid w:val="00362B5A"/>
    <w:rsid w:val="0036380E"/>
    <w:rsid w:val="00364AD9"/>
    <w:rsid w:val="003674C7"/>
    <w:rsid w:val="00372467"/>
    <w:rsid w:val="0037329E"/>
    <w:rsid w:val="00376C97"/>
    <w:rsid w:val="003818B3"/>
    <w:rsid w:val="00382572"/>
    <w:rsid w:val="00386FC9"/>
    <w:rsid w:val="00390229"/>
    <w:rsid w:val="00393D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0F1"/>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551B"/>
    <w:rsid w:val="004B6679"/>
    <w:rsid w:val="004B6C9D"/>
    <w:rsid w:val="004C04B7"/>
    <w:rsid w:val="004C1AFF"/>
    <w:rsid w:val="004C2E90"/>
    <w:rsid w:val="004C3E20"/>
    <w:rsid w:val="004C40FE"/>
    <w:rsid w:val="004C4A2F"/>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9798A"/>
    <w:rsid w:val="005A2E4F"/>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525"/>
    <w:rsid w:val="006040CE"/>
    <w:rsid w:val="006116F2"/>
    <w:rsid w:val="00625611"/>
    <w:rsid w:val="006277D7"/>
    <w:rsid w:val="006305FB"/>
    <w:rsid w:val="00633855"/>
    <w:rsid w:val="006346AD"/>
    <w:rsid w:val="00637101"/>
    <w:rsid w:val="00637D2D"/>
    <w:rsid w:val="006417BA"/>
    <w:rsid w:val="00641B89"/>
    <w:rsid w:val="0064207C"/>
    <w:rsid w:val="006467C5"/>
    <w:rsid w:val="0065206D"/>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D29"/>
    <w:rsid w:val="006F1F87"/>
    <w:rsid w:val="006F6161"/>
    <w:rsid w:val="006F756F"/>
    <w:rsid w:val="00701CED"/>
    <w:rsid w:val="00702646"/>
    <w:rsid w:val="00705D48"/>
    <w:rsid w:val="00705E45"/>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58E0"/>
    <w:rsid w:val="007A7447"/>
    <w:rsid w:val="007A777F"/>
    <w:rsid w:val="007A7ACB"/>
    <w:rsid w:val="007B1B97"/>
    <w:rsid w:val="007B4F7C"/>
    <w:rsid w:val="007B5EC3"/>
    <w:rsid w:val="007C30B1"/>
    <w:rsid w:val="007C3C0F"/>
    <w:rsid w:val="007C6DC2"/>
    <w:rsid w:val="007C7906"/>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7D85"/>
    <w:rsid w:val="00880B59"/>
    <w:rsid w:val="00886765"/>
    <w:rsid w:val="00891F8A"/>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67110"/>
    <w:rsid w:val="00C7051D"/>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2D2C"/>
    <w:rsid w:val="00CD6787"/>
    <w:rsid w:val="00CE0CC0"/>
    <w:rsid w:val="00CE1623"/>
    <w:rsid w:val="00CE308B"/>
    <w:rsid w:val="00CF4507"/>
    <w:rsid w:val="00D00EBE"/>
    <w:rsid w:val="00D01AC3"/>
    <w:rsid w:val="00D03BC0"/>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44E8C"/>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591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57871"/>
    <w:rsid w:val="00E60DBA"/>
    <w:rsid w:val="00E630EA"/>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D251A"/>
    <w:rsid w:val="00ED2E50"/>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2ED5"/>
    <w:rsid w:val="00F34E3E"/>
    <w:rsid w:val="00F3785A"/>
    <w:rsid w:val="00F37A32"/>
    <w:rsid w:val="00F45EEE"/>
    <w:rsid w:val="00F4692A"/>
    <w:rsid w:val="00F507C3"/>
    <w:rsid w:val="00F565B4"/>
    <w:rsid w:val="00F57129"/>
    <w:rsid w:val="00F6048A"/>
    <w:rsid w:val="00F6701C"/>
    <w:rsid w:val="00F71640"/>
    <w:rsid w:val="00F71BA1"/>
    <w:rsid w:val="00F75931"/>
    <w:rsid w:val="00F75ECB"/>
    <w:rsid w:val="00F814E2"/>
    <w:rsid w:val="00F83E28"/>
    <w:rsid w:val="00F84468"/>
    <w:rsid w:val="00F853DA"/>
    <w:rsid w:val="00F856FE"/>
    <w:rsid w:val="00F859EF"/>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2E8A7"/>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A864-FDF9-42B1-81F2-3564F9E1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3081</Words>
  <Characters>18178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41</cp:revision>
  <cp:lastPrinted>2014-07-10T07:42:00Z</cp:lastPrinted>
  <dcterms:created xsi:type="dcterms:W3CDTF">2019-08-14T11:15:00Z</dcterms:created>
  <dcterms:modified xsi:type="dcterms:W3CDTF">2020-11-04T12:20:00Z</dcterms:modified>
</cp:coreProperties>
</file>