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B12A5" w14:textId="1CF013D3" w:rsidR="00E6185F" w:rsidRPr="001C216E" w:rsidRDefault="00296E6F" w:rsidP="00020CCE">
      <w:pPr>
        <w:pStyle w:val="Nadpissla1"/>
        <w:numPr>
          <w:ilvl w:val="0"/>
          <w:numId w:val="11"/>
        </w:numPr>
        <w:spacing w:before="0"/>
        <w:ind w:left="284"/>
        <w:rPr>
          <w:rFonts w:asciiTheme="minorHAnsi" w:hAnsiTheme="minorHAnsi"/>
          <w:color w:val="auto"/>
          <w:sz w:val="36"/>
          <w:szCs w:val="36"/>
        </w:rPr>
      </w:pPr>
      <w:bookmarkStart w:id="0" w:name="_Toc18052514"/>
      <w:bookmarkStart w:id="1" w:name="_Toc418758152"/>
      <w:bookmarkStart w:id="2" w:name="_Toc418758399"/>
      <w:r>
        <w:rPr>
          <w:rFonts w:asciiTheme="minorHAnsi" w:hAnsiTheme="minorHAnsi"/>
          <w:color w:val="auto"/>
          <w:sz w:val="36"/>
          <w:szCs w:val="36"/>
        </w:rPr>
        <w:t>S</w:t>
      </w:r>
      <w:r w:rsidR="00E6185F" w:rsidRPr="001C216E">
        <w:rPr>
          <w:rFonts w:asciiTheme="minorHAnsi" w:hAnsiTheme="minorHAnsi"/>
          <w:color w:val="auto"/>
          <w:sz w:val="36"/>
          <w:szCs w:val="36"/>
        </w:rPr>
        <w:t>eznam</w:t>
      </w:r>
      <w:r w:rsidR="00E6185F">
        <w:rPr>
          <w:rFonts w:asciiTheme="minorHAnsi" w:hAnsiTheme="minorHAnsi"/>
          <w:color w:val="auto"/>
          <w:sz w:val="36"/>
          <w:szCs w:val="36"/>
        </w:rPr>
        <w:t xml:space="preserve"> </w:t>
      </w:r>
      <w:r w:rsidR="00020CCE">
        <w:rPr>
          <w:rFonts w:asciiTheme="minorHAnsi" w:hAnsiTheme="minorHAnsi"/>
          <w:color w:val="auto"/>
          <w:sz w:val="36"/>
          <w:szCs w:val="36"/>
        </w:rPr>
        <w:t xml:space="preserve">a popis </w:t>
      </w:r>
      <w:r w:rsidR="00E6185F">
        <w:rPr>
          <w:rFonts w:asciiTheme="minorHAnsi" w:hAnsiTheme="minorHAnsi"/>
          <w:color w:val="auto"/>
          <w:sz w:val="36"/>
          <w:szCs w:val="36"/>
        </w:rPr>
        <w:t>stávajících</w:t>
      </w:r>
      <w:r w:rsidR="00E6185F" w:rsidRPr="001C216E">
        <w:rPr>
          <w:rFonts w:asciiTheme="minorHAnsi" w:hAnsiTheme="minorHAnsi"/>
          <w:color w:val="auto"/>
          <w:sz w:val="36"/>
          <w:szCs w:val="36"/>
        </w:rPr>
        <w:t xml:space="preserve"> komunikačních systémů</w:t>
      </w:r>
      <w:bookmarkEnd w:id="0"/>
      <w:r w:rsidR="00E6185F" w:rsidRPr="001C216E">
        <w:rPr>
          <w:rFonts w:asciiTheme="minorHAnsi" w:hAnsiTheme="minorHAnsi"/>
          <w:color w:val="auto"/>
          <w:sz w:val="36"/>
          <w:szCs w:val="36"/>
        </w:rPr>
        <w:t xml:space="preserve"> VŠB-TUO</w:t>
      </w:r>
    </w:p>
    <w:p w14:paraId="0B32889F" w14:textId="77777777" w:rsidR="00020CCE" w:rsidRPr="009F4160" w:rsidRDefault="00020CCE" w:rsidP="006A73C5">
      <w:pPr>
        <w:jc w:val="both"/>
      </w:pPr>
      <w:r w:rsidRPr="009F4160">
        <w:t xml:space="preserve">Zadavatel provozuje stávající řešení telefonie v rozsáhlé podnikové síti kapacitně dimenzované pro 5000+ poboček umístěných v navzájem propojených lokalitách. S ohledem na unifikovatelnost podporovaných funkcí, obsluhy přístrojů, začlenění do správy, přenositelnosti koncových zařízení a kontinuity využívaných znalostí zaměstnanci tuto síť spravující. </w:t>
      </w:r>
    </w:p>
    <w:p w14:paraId="77A6F8C3" w14:textId="2E73470E" w:rsidR="00E6185F" w:rsidRPr="009F4160" w:rsidRDefault="00E6185F" w:rsidP="006A73C5">
      <w:pPr>
        <w:jc w:val="both"/>
      </w:pPr>
      <w:r w:rsidRPr="009F4160">
        <w:t>Komunikační síť VŠB</w:t>
      </w:r>
      <w:r w:rsidR="00662B3D" w:rsidRPr="009F4160">
        <w:t>-</w:t>
      </w:r>
      <w:r w:rsidRPr="009F4160">
        <w:t xml:space="preserve">TUO je tvořena TDM a IP komunikačními systémy </w:t>
      </w:r>
      <w:r w:rsidR="007D219B">
        <w:t>Ixperta s.r.o</w:t>
      </w:r>
      <w:r w:rsidRPr="009F4160">
        <w:t>, dříve dodáv</w:t>
      </w:r>
      <w:r w:rsidR="00662B3D" w:rsidRPr="009F4160">
        <w:t xml:space="preserve">anými </w:t>
      </w:r>
      <w:r w:rsidRPr="009F4160">
        <w:t xml:space="preserve">pod značkou Siemens. Jedná se o kombinaci systémů HiPath 4000 v různých SW verzích, které </w:t>
      </w:r>
      <w:r w:rsidR="00662B3D" w:rsidRPr="009F4160">
        <w:t>se vyzn</w:t>
      </w:r>
      <w:r w:rsidR="00662B3D" w:rsidRPr="009F4160">
        <w:rPr>
          <w:lang w:val="en-US"/>
        </w:rPr>
        <w:t>a</w:t>
      </w:r>
      <w:r w:rsidR="00662B3D" w:rsidRPr="009F4160">
        <w:t xml:space="preserve">čují tím, že </w:t>
      </w:r>
      <w:r w:rsidRPr="009F4160">
        <w:t>mají zachovánu jednotnou správu</w:t>
      </w:r>
      <w:r w:rsidR="00662B3D" w:rsidRPr="009F4160">
        <w:t>,</w:t>
      </w:r>
      <w:r w:rsidRPr="009F4160">
        <w:t xml:space="preserve"> dostupnost služeb napříč celou sítí</w:t>
      </w:r>
      <w:r w:rsidR="00662B3D" w:rsidRPr="009F4160">
        <w:t xml:space="preserve"> a přenositelnost zařízení mezi </w:t>
      </w:r>
      <w:r w:rsidR="00662B3D" w:rsidRPr="007D219B">
        <w:t>lokalitami</w:t>
      </w:r>
      <w:r w:rsidRPr="007D219B">
        <w:t>. Tyto komunikační systémy jsou dále doplněny rozšiřujíc</w:t>
      </w:r>
      <w:r w:rsidR="00662B3D" w:rsidRPr="007D219B">
        <w:t xml:space="preserve">ími aplikacemi od výrobce </w:t>
      </w:r>
      <w:r w:rsidR="007D219B" w:rsidRPr="007D219B">
        <w:t xml:space="preserve">Ixperta s.r.o. (dříve </w:t>
      </w:r>
      <w:r w:rsidR="00662B3D" w:rsidRPr="0085000E">
        <w:t>Unify</w:t>
      </w:r>
      <w:r w:rsidR="007D219B" w:rsidRPr="0085000E">
        <w:t xml:space="preserve"> s.r.o)</w:t>
      </w:r>
      <w:r w:rsidR="00662B3D" w:rsidRPr="0085000E">
        <w:t>,</w:t>
      </w:r>
      <w:r w:rsidR="00662B3D" w:rsidRPr="007D219B">
        <w:t xml:space="preserve"> celkově je</w:t>
      </w:r>
      <w:r w:rsidR="00662B3D" w:rsidRPr="009F4160">
        <w:t xml:space="preserve"> síť dimenzována na 5 232 poboček.</w:t>
      </w:r>
    </w:p>
    <w:p w14:paraId="5BA25337" w14:textId="300B71BA" w:rsidR="00E6185F" w:rsidRDefault="00662B3D" w:rsidP="006A73C5">
      <w:pPr>
        <w:jc w:val="both"/>
      </w:pPr>
      <w:r w:rsidRPr="009F4160">
        <w:t xml:space="preserve">Předmětem modernizace jsou systémy HICOM 300 </w:t>
      </w:r>
      <w:r w:rsidR="00526ECD" w:rsidRPr="009F4160">
        <w:t xml:space="preserve">(dále rovněž jako H300) </w:t>
      </w:r>
      <w:r w:rsidRPr="009F4160">
        <w:t>v porubském are</w:t>
      </w:r>
      <w:r>
        <w:t xml:space="preserve">álu </w:t>
      </w:r>
      <w:r w:rsidR="007D219B" w:rsidRPr="007D219B">
        <w:t>Ubytovací</w:t>
      </w:r>
      <w:r w:rsidR="007D219B">
        <w:t>ch</w:t>
      </w:r>
      <w:r w:rsidR="007D219B" w:rsidRPr="007D219B">
        <w:t xml:space="preserve"> služ</w:t>
      </w:r>
      <w:r w:rsidR="007D219B">
        <w:t>e</w:t>
      </w:r>
      <w:r w:rsidR="007D219B" w:rsidRPr="007D219B">
        <w:t>b a stravovací</w:t>
      </w:r>
      <w:r w:rsidR="007D219B">
        <w:t>ch</w:t>
      </w:r>
      <w:r w:rsidR="007D219B" w:rsidRPr="007D219B">
        <w:t xml:space="preserve"> služ</w:t>
      </w:r>
      <w:r w:rsidR="007D219B">
        <w:t>e</w:t>
      </w:r>
      <w:r w:rsidR="007D219B" w:rsidRPr="007D219B">
        <w:t>b VŠB-TUO</w:t>
      </w:r>
      <w:r w:rsidR="007D219B">
        <w:t xml:space="preserve"> (dále USSS nebo </w:t>
      </w:r>
      <w:r w:rsidR="008C573B">
        <w:t>Koleje</w:t>
      </w:r>
      <w:r w:rsidR="007D219B">
        <w:t>)</w:t>
      </w:r>
      <w:r>
        <w:t xml:space="preserve">, který je součástí hlavního univerzitního kampusu zadavatele. Jedná se o </w:t>
      </w:r>
      <w:r w:rsidR="00E6185F" w:rsidRPr="001C216E">
        <w:t xml:space="preserve">TDM systémy </w:t>
      </w:r>
      <w:r>
        <w:t xml:space="preserve">z počátku 90-tých let a </w:t>
      </w:r>
      <w:r w:rsidR="00E6185F" w:rsidRPr="001C216E">
        <w:t xml:space="preserve">v lokalitě </w:t>
      </w:r>
      <w:r w:rsidR="007D219B">
        <w:t>USSS</w:t>
      </w:r>
      <w:r>
        <w:t xml:space="preserve"> je provozován </w:t>
      </w:r>
      <w:r w:rsidR="00E6185F" w:rsidRPr="001C216E">
        <w:t xml:space="preserve">jeden hlavní systém HICOM 392 </w:t>
      </w:r>
      <w:r w:rsidR="008353FB">
        <w:t xml:space="preserve">budovy A/B umístěný v budově A </w:t>
      </w:r>
      <w:r w:rsidR="00E6185F" w:rsidRPr="001C216E">
        <w:t>a několik menších systémů HICOM 3xx</w:t>
      </w:r>
      <w:r w:rsidR="008353FB">
        <w:t xml:space="preserve"> v budovách C, D a E</w:t>
      </w:r>
      <w:r>
        <w:t>, viz Tab.</w:t>
      </w:r>
      <w:r w:rsidR="006A73C5">
        <w:t xml:space="preserve"> </w:t>
      </w:r>
      <w:r>
        <w:t>1</w:t>
      </w:r>
      <w:r w:rsidR="00E6185F" w:rsidRPr="001C216E">
        <w:t>.</w:t>
      </w:r>
    </w:p>
    <w:p w14:paraId="67029388" w14:textId="77777777" w:rsidR="009F4160" w:rsidRDefault="009F4160" w:rsidP="006A73C5">
      <w:pPr>
        <w:jc w:val="both"/>
      </w:pPr>
    </w:p>
    <w:p w14:paraId="7D5F40EA" w14:textId="4216AC09" w:rsidR="00662B3D" w:rsidRDefault="00662B3D" w:rsidP="00662B3D">
      <w:r>
        <w:t xml:space="preserve">Tab. 1. Přehled provozovaných H300 v lokalitě </w:t>
      </w:r>
      <w:r w:rsidR="007D219B">
        <w:t>USSS (USSS)</w:t>
      </w:r>
    </w:p>
    <w:tbl>
      <w:tblPr>
        <w:tblW w:w="54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673"/>
        <w:gridCol w:w="1418"/>
      </w:tblGrid>
      <w:tr w:rsidR="00E6185F" w:rsidRPr="001C216E" w14:paraId="56C17841" w14:textId="77777777" w:rsidTr="00D81290">
        <w:trPr>
          <w:trHeight w:val="300"/>
        </w:trPr>
        <w:tc>
          <w:tcPr>
            <w:tcW w:w="2380" w:type="dxa"/>
            <w:shd w:val="clear" w:color="000000" w:fill="D9D9D9"/>
            <w:noWrap/>
            <w:vAlign w:val="bottom"/>
            <w:hideMark/>
          </w:tcPr>
          <w:p w14:paraId="4A4A4C57" w14:textId="77777777" w:rsidR="00E6185F" w:rsidRPr="001C216E" w:rsidRDefault="00E6185F" w:rsidP="00D81290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b/>
                <w:bCs/>
                <w:color w:val="000000"/>
                <w:lang w:eastAsia="cs-CZ"/>
              </w:rPr>
              <w:t>Lokalita</w:t>
            </w:r>
          </w:p>
        </w:tc>
        <w:tc>
          <w:tcPr>
            <w:tcW w:w="1673" w:type="dxa"/>
            <w:shd w:val="clear" w:color="000000" w:fill="D9D9D9"/>
            <w:noWrap/>
            <w:vAlign w:val="bottom"/>
            <w:hideMark/>
          </w:tcPr>
          <w:p w14:paraId="1F5F7ED9" w14:textId="77777777" w:rsidR="00E6185F" w:rsidRPr="001C216E" w:rsidRDefault="00E6185F" w:rsidP="00D81290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b/>
                <w:bCs/>
                <w:color w:val="000000"/>
                <w:lang w:eastAsia="cs-CZ"/>
              </w:rPr>
              <w:t>L-číslo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14:paraId="2D920B1F" w14:textId="77777777" w:rsidR="00E6185F" w:rsidRPr="001C216E" w:rsidRDefault="00E6185F" w:rsidP="00D81290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b/>
                <w:bCs/>
                <w:color w:val="000000"/>
                <w:lang w:eastAsia="cs-CZ"/>
              </w:rPr>
              <w:t>Verze</w:t>
            </w:r>
          </w:p>
        </w:tc>
      </w:tr>
      <w:tr w:rsidR="00E6185F" w:rsidRPr="001C216E" w14:paraId="09471925" w14:textId="77777777" w:rsidTr="00D81290">
        <w:trPr>
          <w:trHeight w:val="300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2F4734" w14:textId="7EB740CC" w:rsidR="00E6185F" w:rsidRPr="001C216E" w:rsidRDefault="00E6185F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color w:val="000000"/>
                <w:lang w:eastAsia="cs-CZ"/>
              </w:rPr>
              <w:t xml:space="preserve">VŠB </w:t>
            </w:r>
            <w:r w:rsidR="008C573B">
              <w:rPr>
                <w:rFonts w:eastAsia="Times New Roman" w:cs="Calibri"/>
                <w:color w:val="000000"/>
                <w:lang w:eastAsia="cs-CZ"/>
              </w:rPr>
              <w:t>Koleje,</w:t>
            </w:r>
            <w:r w:rsidRPr="001C216E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DD208C" w:rsidRPr="001C216E">
              <w:rPr>
                <w:rFonts w:eastAsia="Times New Roman" w:cs="Calibri"/>
                <w:color w:val="000000"/>
                <w:lang w:eastAsia="cs-CZ"/>
              </w:rPr>
              <w:t>budova A, B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4BCB7DD1" w14:textId="77777777" w:rsidR="00E6185F" w:rsidRPr="001C216E" w:rsidRDefault="00E6185F" w:rsidP="00D81290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color w:val="000000"/>
                <w:lang w:eastAsia="cs-CZ"/>
              </w:rPr>
              <w:t>L31734T  34X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A6924A" w14:textId="77777777" w:rsidR="00E6185F" w:rsidRPr="001C216E" w:rsidRDefault="00E6185F" w:rsidP="00D81290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color w:val="000000"/>
                <w:lang w:eastAsia="cs-CZ"/>
              </w:rPr>
              <w:t> H392, V3.5</w:t>
            </w:r>
          </w:p>
        </w:tc>
      </w:tr>
      <w:tr w:rsidR="00E6185F" w:rsidRPr="001C216E" w14:paraId="50DCFE8B" w14:textId="77777777" w:rsidTr="00D81290">
        <w:trPr>
          <w:trHeight w:val="300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9C6860" w14:textId="573DDC5A" w:rsidR="00E6185F" w:rsidRPr="001C216E" w:rsidRDefault="00E6185F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color w:val="000000"/>
                <w:lang w:eastAsia="cs-CZ"/>
              </w:rPr>
              <w:t xml:space="preserve">VŠB </w:t>
            </w:r>
            <w:r w:rsidR="008C573B">
              <w:rPr>
                <w:rFonts w:eastAsia="Times New Roman" w:cs="Calibri"/>
                <w:color w:val="000000"/>
                <w:lang w:eastAsia="cs-CZ"/>
              </w:rPr>
              <w:t>Koleje</w:t>
            </w:r>
            <w:r w:rsidRPr="001C216E">
              <w:rPr>
                <w:rFonts w:eastAsia="Times New Roman" w:cs="Calibri"/>
                <w:color w:val="000000"/>
                <w:lang w:eastAsia="cs-CZ"/>
              </w:rPr>
              <w:t>, budova C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165CECBD" w14:textId="77777777" w:rsidR="00E6185F" w:rsidRPr="001C216E" w:rsidRDefault="00E6185F" w:rsidP="00D81290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color w:val="000000"/>
                <w:lang w:eastAsia="cs-CZ"/>
              </w:rPr>
              <w:t>L31734E 553X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F2DB8A" w14:textId="77777777" w:rsidR="00E6185F" w:rsidRPr="001C216E" w:rsidRDefault="00E6185F" w:rsidP="00D81290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color w:val="000000"/>
                <w:lang w:eastAsia="cs-CZ"/>
              </w:rPr>
              <w:t> H362, V3.5</w:t>
            </w:r>
          </w:p>
        </w:tc>
      </w:tr>
      <w:tr w:rsidR="00E6185F" w:rsidRPr="001C216E" w14:paraId="5BDFFCB0" w14:textId="77777777" w:rsidTr="00D81290">
        <w:trPr>
          <w:trHeight w:val="300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1E0A4A" w14:textId="7B3B477A" w:rsidR="00E6185F" w:rsidRPr="001C216E" w:rsidRDefault="00E6185F" w:rsidP="00D81290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color w:val="000000"/>
                <w:lang w:eastAsia="cs-CZ"/>
              </w:rPr>
              <w:t xml:space="preserve">VŠB </w:t>
            </w:r>
            <w:r w:rsidR="008C573B" w:rsidRPr="008C573B">
              <w:rPr>
                <w:rFonts w:eastAsia="Times New Roman" w:cs="Calibri"/>
                <w:color w:val="000000"/>
                <w:lang w:eastAsia="cs-CZ"/>
              </w:rPr>
              <w:t>Koleje</w:t>
            </w:r>
            <w:r w:rsidRPr="001C216E">
              <w:rPr>
                <w:rFonts w:eastAsia="Times New Roman" w:cs="Calibri"/>
                <w:color w:val="000000"/>
                <w:lang w:eastAsia="cs-CZ"/>
              </w:rPr>
              <w:t>, budova D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207D9306" w14:textId="77777777" w:rsidR="00E6185F" w:rsidRPr="001C216E" w:rsidRDefault="00E6185F" w:rsidP="00D81290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color w:val="000000"/>
                <w:lang w:eastAsia="cs-CZ"/>
              </w:rPr>
              <w:t>L31735C  11X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7E145D" w14:textId="77777777" w:rsidR="00E6185F" w:rsidRPr="001C216E" w:rsidRDefault="00E6185F" w:rsidP="00D81290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color w:val="000000"/>
                <w:lang w:eastAsia="cs-CZ"/>
              </w:rPr>
              <w:t> H343, V3.5</w:t>
            </w:r>
          </w:p>
        </w:tc>
      </w:tr>
      <w:tr w:rsidR="00E6185F" w:rsidRPr="001C216E" w14:paraId="71BCACED" w14:textId="77777777" w:rsidTr="00D81290">
        <w:trPr>
          <w:trHeight w:val="300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EDE206" w14:textId="2C320AE8" w:rsidR="00E6185F" w:rsidRPr="001C216E" w:rsidRDefault="00E6185F" w:rsidP="00D81290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color w:val="000000"/>
                <w:lang w:eastAsia="cs-CZ"/>
              </w:rPr>
              <w:t xml:space="preserve">VŠB </w:t>
            </w:r>
            <w:r w:rsidR="008C573B" w:rsidRPr="008C573B">
              <w:rPr>
                <w:rFonts w:eastAsia="Times New Roman" w:cs="Calibri"/>
                <w:color w:val="000000"/>
                <w:lang w:eastAsia="cs-CZ"/>
              </w:rPr>
              <w:t>Koleje</w:t>
            </w:r>
            <w:r w:rsidRPr="001C216E">
              <w:rPr>
                <w:rFonts w:eastAsia="Times New Roman" w:cs="Calibri"/>
                <w:color w:val="000000"/>
                <w:lang w:eastAsia="cs-CZ"/>
              </w:rPr>
              <w:t>, budova E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5304E435" w14:textId="77777777" w:rsidR="00E6185F" w:rsidRPr="001C216E" w:rsidRDefault="00E6185F" w:rsidP="00D81290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color w:val="000000"/>
                <w:lang w:eastAsia="cs-CZ"/>
              </w:rPr>
              <w:t>L31735C  12X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B3B1E6" w14:textId="77777777" w:rsidR="00E6185F" w:rsidRPr="001C216E" w:rsidRDefault="00E6185F" w:rsidP="00D81290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1C216E">
              <w:rPr>
                <w:rFonts w:eastAsia="Times New Roman" w:cs="Calibri"/>
                <w:color w:val="000000"/>
                <w:lang w:eastAsia="cs-CZ"/>
              </w:rPr>
              <w:t> H343, V3.5</w:t>
            </w:r>
          </w:p>
        </w:tc>
      </w:tr>
    </w:tbl>
    <w:p w14:paraId="6E430159" w14:textId="77777777" w:rsidR="00662B3D" w:rsidRDefault="00662B3D" w:rsidP="00E6185F"/>
    <w:p w14:paraId="1B9799E9" w14:textId="369245E6" w:rsidR="008353FB" w:rsidRPr="009F4160" w:rsidRDefault="008353FB" w:rsidP="008353FB">
      <w:pPr>
        <w:jc w:val="both"/>
      </w:pPr>
      <w:r w:rsidRPr="009F4160">
        <w:rPr>
          <w:bCs/>
        </w:rPr>
        <w:t>Důvodem modernizace je, že s</w:t>
      </w:r>
      <w:r w:rsidRPr="009F4160">
        <w:t xml:space="preserve">ystémy H300 na lokalitě </w:t>
      </w:r>
      <w:r w:rsidR="007D219B">
        <w:t>USSS</w:t>
      </w:r>
      <w:r w:rsidR="007D219B" w:rsidRPr="009F4160">
        <w:t xml:space="preserve"> </w:t>
      </w:r>
      <w:r w:rsidRPr="009F4160">
        <w:t xml:space="preserve">jsou </w:t>
      </w:r>
      <w:r w:rsidR="007D219B">
        <w:t xml:space="preserve">technicky i morálně </w:t>
      </w:r>
      <w:r w:rsidRPr="009F4160">
        <w:t xml:space="preserve">zastaralé a jsou již mimo jakoukoliv podporu výrobce, do lokality </w:t>
      </w:r>
      <w:r w:rsidR="007D219B">
        <w:t>USSS</w:t>
      </w:r>
      <w:r w:rsidR="007D219B" w:rsidRPr="009F4160">
        <w:t xml:space="preserve"> </w:t>
      </w:r>
      <w:r w:rsidRPr="009F4160">
        <w:t>byly instalovány a přesouvány staré systémy, dříve využité v ostatních lokalitách VŠB</w:t>
      </w:r>
      <w:r w:rsidR="009F4160" w:rsidRPr="009F4160">
        <w:t>-TUO</w:t>
      </w:r>
      <w:r w:rsidRPr="009F4160">
        <w:t xml:space="preserve">. Postupným přesouváním H300 se </w:t>
      </w:r>
      <w:r w:rsidR="007D219B">
        <w:t xml:space="preserve">u zadavatele </w:t>
      </w:r>
      <w:r w:rsidRPr="009F4160">
        <w:t xml:space="preserve">vytvořila dostatečná zásoba náhradních dílů, nicméně po více než 25 let provozu jednotlivých H300 zadavatel konstatuje, že technologie je za hranicí své životnosti a nelze ji dále držet v provozu. </w:t>
      </w:r>
    </w:p>
    <w:p w14:paraId="21F84CBF" w14:textId="77777777" w:rsidR="008353FB" w:rsidRPr="006C4B62" w:rsidRDefault="008353FB" w:rsidP="00020CCE">
      <w:pPr>
        <w:pStyle w:val="Nadpissla2"/>
        <w:numPr>
          <w:ilvl w:val="0"/>
          <w:numId w:val="11"/>
        </w:numPr>
        <w:ind w:left="284"/>
        <w:rPr>
          <w:rFonts w:asciiTheme="minorHAnsi" w:hAnsiTheme="minorHAnsi"/>
          <w:color w:val="auto"/>
          <w:sz w:val="36"/>
          <w:szCs w:val="36"/>
        </w:rPr>
      </w:pPr>
      <w:bookmarkStart w:id="3" w:name="_Toc18052530"/>
      <w:bookmarkStart w:id="4" w:name="_Toc18052526"/>
      <w:bookmarkEnd w:id="1"/>
      <w:bookmarkEnd w:id="2"/>
      <w:r w:rsidRPr="006C4B62">
        <w:rPr>
          <w:rFonts w:asciiTheme="minorHAnsi" w:hAnsiTheme="minorHAnsi"/>
          <w:color w:val="auto"/>
          <w:sz w:val="36"/>
          <w:szCs w:val="36"/>
        </w:rPr>
        <w:t xml:space="preserve">Požadavky na realizaci </w:t>
      </w:r>
      <w:bookmarkEnd w:id="3"/>
    </w:p>
    <w:bookmarkEnd w:id="4"/>
    <w:p w14:paraId="4DA511B4" w14:textId="0BDCE0F3" w:rsidR="008353FB" w:rsidRPr="006A73C5" w:rsidRDefault="00E6185F" w:rsidP="00BF3EB8">
      <w:pPr>
        <w:jc w:val="both"/>
      </w:pPr>
      <w:r w:rsidRPr="006A73C5">
        <w:t>Řešení modernizac</w:t>
      </w:r>
      <w:r w:rsidR="00BF3EB8" w:rsidRPr="006A73C5">
        <w:t xml:space="preserve">e komunikační infrastruktury v lokalitě </w:t>
      </w:r>
      <w:r w:rsidR="007D219B">
        <w:t>USSS</w:t>
      </w:r>
      <w:r w:rsidR="00BF3EB8" w:rsidRPr="006A73C5">
        <w:t xml:space="preserve"> </w:t>
      </w:r>
      <w:r w:rsidRPr="006A73C5">
        <w:t>má přesah i na stávající systémy infrastruktury VŠB</w:t>
      </w:r>
      <w:r w:rsidR="00BF3EB8" w:rsidRPr="006A73C5">
        <w:t xml:space="preserve">, kde požadujeme plné začlenění tak jako u jakékoliv jiné lokality, tzn. Plná podpora služeb </w:t>
      </w:r>
      <w:r w:rsidR="00FB7C5B" w:rsidRPr="006A73C5">
        <w:t xml:space="preserve">v rozsahu </w:t>
      </w:r>
      <w:r w:rsidR="00526ECD" w:rsidRPr="006A73C5">
        <w:t xml:space="preserve">HiPath </w:t>
      </w:r>
      <w:r w:rsidR="00FB7C5B" w:rsidRPr="006A73C5">
        <w:t>4000 (</w:t>
      </w:r>
      <w:r w:rsidR="00EE1CE3" w:rsidRPr="006A73C5">
        <w:t xml:space="preserve">dále jen </w:t>
      </w:r>
      <w:r w:rsidR="00FB7C5B" w:rsidRPr="006A73C5">
        <w:t>H4000)a přenositelnost zařízení</w:t>
      </w:r>
      <w:r w:rsidRPr="006A73C5">
        <w:t xml:space="preserve">. </w:t>
      </w:r>
      <w:r w:rsidR="00675A35">
        <w:t>Z</w:t>
      </w:r>
      <w:r w:rsidR="00F3502F" w:rsidRPr="00675A35">
        <w:t>adavatel s péčí řádného hospodáře specifikuje zařízení tak, aby vyhovělo jeho potřebám a bylo možné jej do stávajícího řešení plně začlenit.</w:t>
      </w:r>
    </w:p>
    <w:p w14:paraId="50A509D2" w14:textId="33AE926F" w:rsidR="00E6185F" w:rsidRPr="006A73C5" w:rsidRDefault="00FB7C5B" w:rsidP="00BF3EB8">
      <w:pPr>
        <w:jc w:val="both"/>
      </w:pPr>
      <w:r w:rsidRPr="006A73C5">
        <w:t xml:space="preserve">Lokalita </w:t>
      </w:r>
      <w:r w:rsidR="007D219B">
        <w:t>USSS</w:t>
      </w:r>
      <w:r w:rsidRPr="006A73C5">
        <w:t xml:space="preserve"> je připojena na </w:t>
      </w:r>
      <w:r w:rsidR="00EE1CE3" w:rsidRPr="006A73C5">
        <w:t>H</w:t>
      </w:r>
      <w:r w:rsidRPr="006A73C5">
        <w:t>4000 rektorátu prostřednictvím E1</w:t>
      </w:r>
      <w:r w:rsidR="00526ECD" w:rsidRPr="006A73C5">
        <w:t xml:space="preserve">, konkrétně ISDN/PRI </w:t>
      </w:r>
      <w:r w:rsidRPr="006A73C5">
        <w:t>se signalizací QSIG (přes QSIG jsou tunelovány služby mezi H300 a H4000 prostřednictvím protokolu Cornet-NQ)</w:t>
      </w:r>
      <w:r w:rsidR="00526ECD" w:rsidRPr="006A73C5">
        <w:t>. F</w:t>
      </w:r>
      <w:r w:rsidRPr="006A73C5">
        <w:t>yzicky je připojení realizováno pomocí optické trasy MM</w:t>
      </w:r>
      <w:r w:rsidR="00606689" w:rsidRPr="006A73C5">
        <w:t xml:space="preserve">. V případě napojení je na straně H4000 AMOM adapterem </w:t>
      </w:r>
      <w:r w:rsidR="00606689" w:rsidRPr="006A73C5">
        <w:lastRenderedPageBreak/>
        <w:t>pro modul DIUT</w:t>
      </w:r>
      <w:r w:rsidR="00EE1CE3" w:rsidRPr="006A73C5">
        <w:t xml:space="preserve">, </w:t>
      </w:r>
      <w:r w:rsidR="000C07E5" w:rsidRPr="006A73C5">
        <w:t xml:space="preserve">SW verze H4000 </w:t>
      </w:r>
      <w:r w:rsidR="00EE1CE3" w:rsidRPr="006A73C5">
        <w:t xml:space="preserve">v lokalitě Rektorát je </w:t>
      </w:r>
      <w:r w:rsidR="000C07E5" w:rsidRPr="006A73C5">
        <w:t>V6</w:t>
      </w:r>
      <w:r w:rsidR="00EE1CE3" w:rsidRPr="006A73C5">
        <w:t>.</w:t>
      </w:r>
      <w:r w:rsidR="00606689" w:rsidRPr="006A73C5">
        <w:t xml:space="preserve"> </w:t>
      </w:r>
      <w:r w:rsidR="000C07E5" w:rsidRPr="006A73C5">
        <w:t xml:space="preserve">Přes </w:t>
      </w:r>
      <w:r w:rsidR="00E6185F" w:rsidRPr="006A73C5">
        <w:t>systém na Rektorátě</w:t>
      </w:r>
      <w:r w:rsidR="000C07E5" w:rsidRPr="006A73C5">
        <w:t xml:space="preserve">, který </w:t>
      </w:r>
      <w:r w:rsidR="00E6185F" w:rsidRPr="006A73C5">
        <w:t>je využíván jako centrální uzel</w:t>
      </w:r>
      <w:r w:rsidR="000C07E5" w:rsidRPr="006A73C5">
        <w:t xml:space="preserve">, je realizována komunikace s </w:t>
      </w:r>
      <w:r w:rsidR="00E6185F" w:rsidRPr="006A73C5">
        <w:t>ostatní</w:t>
      </w:r>
      <w:r w:rsidR="000C07E5" w:rsidRPr="006A73C5">
        <w:t>mi</w:t>
      </w:r>
      <w:r w:rsidR="00E6185F" w:rsidRPr="006A73C5">
        <w:t xml:space="preserve"> systémy VŠB</w:t>
      </w:r>
      <w:r w:rsidR="000C07E5" w:rsidRPr="006A73C5">
        <w:t xml:space="preserve"> a veřejnou sítí.</w:t>
      </w:r>
    </w:p>
    <w:p w14:paraId="6676988D" w14:textId="6CA4CF1C" w:rsidR="00E6185F" w:rsidRDefault="00E6185F" w:rsidP="00E6185F">
      <w:r w:rsidRPr="006A73C5">
        <w:t>Nový systém, jeho realizace a dodavatel musí splňovat a akceptovat následující požadavky</w:t>
      </w:r>
      <w:r w:rsidR="008353FB" w:rsidRPr="006A73C5">
        <w:t>:</w:t>
      </w:r>
      <w:r w:rsidR="008C573B">
        <w:t xml:space="preserve"> </w:t>
      </w:r>
    </w:p>
    <w:p w14:paraId="09AA5664" w14:textId="77777777" w:rsidR="008C573B" w:rsidRPr="006A73C5" w:rsidRDefault="008C573B" w:rsidP="00E6185F"/>
    <w:p w14:paraId="6EC73C33" w14:textId="77777777" w:rsidR="00E6185F" w:rsidRPr="00403D44" w:rsidRDefault="00E6185F" w:rsidP="00E6185F">
      <w:pPr>
        <w:pStyle w:val="Odstavecseseznamem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b/>
          <w:sz w:val="28"/>
          <w:szCs w:val="28"/>
        </w:rPr>
      </w:pPr>
      <w:r w:rsidRPr="00403D44">
        <w:rPr>
          <w:rFonts w:asciiTheme="minorHAnsi" w:hAnsiTheme="minorHAnsi"/>
          <w:b/>
          <w:sz w:val="28"/>
          <w:szCs w:val="28"/>
        </w:rPr>
        <w:t>Obecné požadavky na dodavatele a technologii</w:t>
      </w:r>
    </w:p>
    <w:p w14:paraId="6C5D6EB4" w14:textId="77777777" w:rsidR="00265F0B" w:rsidRPr="00265F0B" w:rsidRDefault="00265F0B" w:rsidP="00265F0B">
      <w:pPr>
        <w:rPr>
          <w:b/>
          <w:lang w:eastAsia="cs-CZ"/>
        </w:rPr>
      </w:pPr>
      <w:r w:rsidRPr="00265F0B">
        <w:rPr>
          <w:b/>
          <w:lang w:eastAsia="cs-CZ"/>
        </w:rPr>
        <w:t>Účastník v případě zájmu musí splňovat i všechny následující požadavky:</w:t>
      </w:r>
    </w:p>
    <w:p w14:paraId="576CEB19" w14:textId="77777777" w:rsidR="00E6185F" w:rsidRPr="00E8762D" w:rsidRDefault="00265F0B" w:rsidP="006A73C5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E8762D">
        <w:t>Účastník</w:t>
      </w:r>
      <w:r w:rsidR="00E6185F" w:rsidRPr="00E8762D">
        <w:t xml:space="preserve"> musí být certifikován na dodávanou technologii (konkrétní typ) od výrobce</w:t>
      </w:r>
      <w:r w:rsidR="008353FB" w:rsidRPr="00E8762D">
        <w:t xml:space="preserve">, </w:t>
      </w:r>
      <w:r w:rsidR="00E6185F" w:rsidRPr="00E8762D">
        <w:t>dodavatel tento požadavek splní tím, že uvede link na portál výrobce, kde bude tato skutečnost uvedena (v případě, že výrobce tuto</w:t>
      </w:r>
      <w:r w:rsidR="00E6185F" w:rsidRPr="00403D44">
        <w:t xml:space="preserve"> informaci neuvádí na svém webu, může </w:t>
      </w:r>
      <w:r w:rsidR="0056408C">
        <w:t xml:space="preserve">účastník </w:t>
      </w:r>
      <w:r w:rsidR="00E6185F" w:rsidRPr="00403D44">
        <w:t xml:space="preserve">doložit výše uvedený </w:t>
      </w:r>
      <w:r w:rsidR="00E6185F" w:rsidRPr="00E8762D">
        <w:t>požadavek originálem dopisu/potvrzení výrobce, který jednozn</w:t>
      </w:r>
      <w:r w:rsidR="004E0CD9" w:rsidRPr="00E8762D">
        <w:t>ačně potvrdí splnění požadavku).</w:t>
      </w:r>
    </w:p>
    <w:p w14:paraId="0883F3BB" w14:textId="7F2FF267" w:rsidR="00E6185F" w:rsidRPr="00E8762D" w:rsidRDefault="00965AEE" w:rsidP="006A73C5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1F497D"/>
        </w:rPr>
      </w:pPr>
      <w:r w:rsidRPr="00E8762D">
        <w:t>T</w:t>
      </w:r>
      <w:r w:rsidR="00907C3F" w:rsidRPr="00E8762D">
        <w:t>echnici, kteří se budou podílet na plnění zakázky</w:t>
      </w:r>
      <w:r w:rsidR="003E6BBB" w:rsidRPr="00E8762D">
        <w:t>,</w:t>
      </w:r>
      <w:r w:rsidR="00907C3F" w:rsidRPr="00E8762D">
        <w:t xml:space="preserve"> musí hovořit českým nebo slovenským jazykem.</w:t>
      </w:r>
      <w:r w:rsidRPr="00E8762D">
        <w:t xml:space="preserve"> </w:t>
      </w:r>
    </w:p>
    <w:p w14:paraId="2DF93F91" w14:textId="0C3F9DC8" w:rsidR="00E8762D" w:rsidRPr="00E125FB" w:rsidRDefault="00E8762D" w:rsidP="00E8762D">
      <w:pPr>
        <w:spacing w:after="0" w:line="276" w:lineRule="auto"/>
        <w:ind w:left="720"/>
        <w:jc w:val="both"/>
        <w:rPr>
          <w:bCs/>
        </w:rPr>
      </w:pPr>
      <w:r>
        <w:rPr>
          <w:bCs/>
        </w:rPr>
        <w:t>Pro případ že pracovníci zhotovitele či jeho poddodavatelů nebudou hovořit česky nebo slovensky, zajistí zhotovitel po celou dobu realizace díla přítomnost tlumočníka/ků z jazyka, jimž uvedení pracovníci</w:t>
      </w:r>
      <w:r w:rsidR="008C573B">
        <w:rPr>
          <w:bCs/>
        </w:rPr>
        <w:t>/technici</w:t>
      </w:r>
      <w:r>
        <w:rPr>
          <w:bCs/>
        </w:rPr>
        <w:t xml:space="preserve"> budou hovořit, do českého jazyka</w:t>
      </w:r>
    </w:p>
    <w:p w14:paraId="4929F1A6" w14:textId="0774C5E9" w:rsidR="008353FB" w:rsidRPr="00F1449A" w:rsidRDefault="00E6185F" w:rsidP="006A73C5">
      <w:pPr>
        <w:pStyle w:val="Odstavecseseznamem"/>
        <w:numPr>
          <w:ilvl w:val="0"/>
          <w:numId w:val="3"/>
        </w:numPr>
        <w:spacing w:line="276" w:lineRule="auto"/>
        <w:jc w:val="both"/>
        <w:rPr>
          <w:lang w:eastAsia="cs-CZ"/>
        </w:rPr>
      </w:pPr>
      <w:r w:rsidRPr="00F1449A">
        <w:rPr>
          <w:lang w:eastAsia="cs-CZ"/>
        </w:rPr>
        <w:t>Dodaná technologie musí být nová, nepoužitá, v aktuální verzi</w:t>
      </w:r>
      <w:r w:rsidR="008353FB">
        <w:rPr>
          <w:lang w:eastAsia="cs-CZ"/>
        </w:rPr>
        <w:t xml:space="preserve"> a </w:t>
      </w:r>
      <w:r w:rsidR="008353FB" w:rsidRPr="00F1449A">
        <w:rPr>
          <w:lang w:eastAsia="cs-CZ"/>
        </w:rPr>
        <w:t>homologována pro ČR</w:t>
      </w:r>
      <w:r w:rsidR="00E8762D">
        <w:rPr>
          <w:lang w:eastAsia="cs-CZ"/>
        </w:rPr>
        <w:t>, nikoliv repasovaná</w:t>
      </w:r>
      <w:r w:rsidR="00965AEE">
        <w:rPr>
          <w:lang w:eastAsia="cs-CZ"/>
        </w:rPr>
        <w:t xml:space="preserve"> </w:t>
      </w:r>
      <w:r w:rsidR="00E8762D">
        <w:rPr>
          <w:lang w:eastAsia="cs-CZ"/>
        </w:rPr>
        <w:t>nebo</w:t>
      </w:r>
      <w:r w:rsidR="00965AEE">
        <w:rPr>
          <w:lang w:eastAsia="cs-CZ"/>
        </w:rPr>
        <w:t xml:space="preserve"> demo verze.</w:t>
      </w:r>
    </w:p>
    <w:p w14:paraId="6928474B" w14:textId="77777777" w:rsidR="00E6185F" w:rsidRPr="00F1449A" w:rsidRDefault="00E6185F" w:rsidP="006A73C5">
      <w:pPr>
        <w:pStyle w:val="Odstavecseseznamem"/>
        <w:numPr>
          <w:ilvl w:val="0"/>
          <w:numId w:val="3"/>
        </w:numPr>
        <w:spacing w:line="276" w:lineRule="auto"/>
        <w:jc w:val="both"/>
        <w:rPr>
          <w:lang w:eastAsia="cs-CZ"/>
        </w:rPr>
      </w:pPr>
      <w:r w:rsidRPr="00F1449A">
        <w:rPr>
          <w:lang w:eastAsia="cs-CZ"/>
        </w:rPr>
        <w:t>Dodaný komunikační systém musí obsahovat všechny potřebné SW licence, které budou počtem</w:t>
      </w:r>
    </w:p>
    <w:p w14:paraId="4943E7DB" w14:textId="3C663E1E" w:rsidR="00E6185F" w:rsidRDefault="00E6185F" w:rsidP="006A73C5">
      <w:pPr>
        <w:pStyle w:val="Odstavecseseznamem"/>
        <w:spacing w:line="276" w:lineRule="auto"/>
        <w:jc w:val="both"/>
        <w:rPr>
          <w:lang w:eastAsia="cs-CZ"/>
        </w:rPr>
      </w:pPr>
      <w:r w:rsidRPr="00F1449A">
        <w:rPr>
          <w:lang w:eastAsia="cs-CZ"/>
        </w:rPr>
        <w:t>odpovídat počtu nabízených portů. Nabízené řešení musí obsahovat takové množství licencí, aby byla technologie plně funkční</w:t>
      </w:r>
      <w:r w:rsidR="008353FB">
        <w:rPr>
          <w:lang w:eastAsia="cs-CZ"/>
        </w:rPr>
        <w:t xml:space="preserve">. </w:t>
      </w:r>
      <w:r w:rsidRPr="00F1449A">
        <w:rPr>
          <w:lang w:eastAsia="cs-CZ"/>
        </w:rPr>
        <w:t xml:space="preserve">SW licence v celkovém počtu </w:t>
      </w:r>
      <w:r w:rsidR="009C458B">
        <w:rPr>
          <w:lang w:eastAsia="cs-CZ"/>
        </w:rPr>
        <w:t>428</w:t>
      </w:r>
      <w:r w:rsidRPr="00F1449A">
        <w:rPr>
          <w:lang w:eastAsia="cs-CZ"/>
        </w:rPr>
        <w:t xml:space="preserve"> musí být univerzální, tzn. kdykoliv použitelné a zaměnitelné bez jakýchkoliv nákladů pro všechny typy účastníků (analogové, digitální a IP)</w:t>
      </w:r>
      <w:r>
        <w:rPr>
          <w:lang w:eastAsia="cs-CZ"/>
        </w:rPr>
        <w:t xml:space="preserve"> -</w:t>
      </w:r>
      <w:r w:rsidRPr="00F1449A">
        <w:rPr>
          <w:lang w:eastAsia="cs-CZ"/>
        </w:rPr>
        <w:t xml:space="preserve"> pokud by licence nebyly univerzální, musí </w:t>
      </w:r>
      <w:r w:rsidR="0056408C">
        <w:rPr>
          <w:lang w:eastAsia="cs-CZ"/>
        </w:rPr>
        <w:t>účastník</w:t>
      </w:r>
      <w:r w:rsidRPr="00F1449A">
        <w:rPr>
          <w:lang w:eastAsia="cs-CZ"/>
        </w:rPr>
        <w:t xml:space="preserve"> nabídnout a v ceně kalkulovat počet licencí tak, aby bylo kdykoliv možno změnit typ koncových účastníků na plně analo</w:t>
      </w:r>
      <w:r>
        <w:rPr>
          <w:lang w:eastAsia="cs-CZ"/>
        </w:rPr>
        <w:t>gové, plně digitální či plně IP</w:t>
      </w:r>
      <w:r w:rsidR="004E0CD9">
        <w:rPr>
          <w:lang w:eastAsia="cs-CZ"/>
        </w:rPr>
        <w:t>.</w:t>
      </w:r>
    </w:p>
    <w:p w14:paraId="4D228DB5" w14:textId="77777777" w:rsidR="00265F0B" w:rsidRPr="00265F0B" w:rsidRDefault="00265F0B" w:rsidP="008353FB">
      <w:pPr>
        <w:pStyle w:val="Odstavecseseznamem"/>
        <w:jc w:val="both"/>
        <w:rPr>
          <w:b/>
          <w:lang w:eastAsia="cs-CZ"/>
        </w:rPr>
      </w:pPr>
    </w:p>
    <w:p w14:paraId="41A327BB" w14:textId="4B348317" w:rsidR="00265F0B" w:rsidRPr="00265F0B" w:rsidRDefault="00265F0B" w:rsidP="00F37637">
      <w:pPr>
        <w:pStyle w:val="Odstavecseseznamem"/>
        <w:ind w:left="0"/>
        <w:jc w:val="both"/>
        <w:rPr>
          <w:b/>
          <w:lang w:eastAsia="cs-CZ"/>
        </w:rPr>
      </w:pPr>
      <w:r w:rsidRPr="00265F0B">
        <w:rPr>
          <w:b/>
          <w:lang w:eastAsia="cs-CZ"/>
        </w:rPr>
        <w:t>Dodavatel ve své nabídce předloží požadovaný link a čestné prohlášení o splnění výše uvedených požadavků</w:t>
      </w:r>
      <w:r w:rsidR="008C573B">
        <w:rPr>
          <w:b/>
          <w:lang w:eastAsia="cs-CZ"/>
        </w:rPr>
        <w:t>. Za tímto účelem může dodavatel použít dokument</w:t>
      </w:r>
      <w:r w:rsidRPr="00265F0B">
        <w:rPr>
          <w:b/>
          <w:lang w:eastAsia="cs-CZ"/>
        </w:rPr>
        <w:t>, kter</w:t>
      </w:r>
      <w:r w:rsidR="008C573B">
        <w:rPr>
          <w:b/>
          <w:lang w:eastAsia="cs-CZ"/>
        </w:rPr>
        <w:t>ý</w:t>
      </w:r>
      <w:r w:rsidRPr="00265F0B">
        <w:rPr>
          <w:b/>
          <w:lang w:eastAsia="cs-CZ"/>
        </w:rPr>
        <w:t xml:space="preserve"> je přílohou č. 4 výzvy k podání nabídky a zadávací dokumentace.</w:t>
      </w:r>
    </w:p>
    <w:p w14:paraId="2B37F5A5" w14:textId="77777777" w:rsidR="00E6185F" w:rsidRPr="00F1449A" w:rsidRDefault="00E6185F" w:rsidP="00E6185F"/>
    <w:p w14:paraId="1CD78413" w14:textId="77777777" w:rsidR="00E6185F" w:rsidRPr="008353FB" w:rsidRDefault="00E6185F" w:rsidP="008353FB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 w:rsidRPr="008353FB">
        <w:rPr>
          <w:b/>
          <w:sz w:val="28"/>
          <w:szCs w:val="28"/>
        </w:rPr>
        <w:t>Požadovaná konfigurace</w:t>
      </w:r>
    </w:p>
    <w:p w14:paraId="12F28B2C" w14:textId="77777777" w:rsidR="00E6185F" w:rsidRPr="006C4B62" w:rsidRDefault="00E6185F" w:rsidP="00E6185F">
      <w:pPr>
        <w:pStyle w:val="Odstavecseseznamem"/>
        <w:rPr>
          <w:b/>
        </w:rPr>
      </w:pPr>
    </w:p>
    <w:p w14:paraId="7DD1C849" w14:textId="55883347" w:rsidR="00E6185F" w:rsidRPr="006A73C5" w:rsidRDefault="006D61AD" w:rsidP="008353FB">
      <w:pPr>
        <w:jc w:val="both"/>
      </w:pPr>
      <w:r>
        <w:t>Zadavatel požaduje</w:t>
      </w:r>
      <w:r w:rsidRPr="006A73C5">
        <w:t xml:space="preserve"> </w:t>
      </w:r>
      <w:r w:rsidR="00E6185F" w:rsidRPr="006A73C5">
        <w:t xml:space="preserve">dodání moderního konvergovaného </w:t>
      </w:r>
      <w:r w:rsidR="00526ECD" w:rsidRPr="006A73C5">
        <w:t xml:space="preserve">komunikačního </w:t>
      </w:r>
      <w:r w:rsidR="00E6185F" w:rsidRPr="006A73C5">
        <w:t>systému s možností implementace analogových, digitálních i IP koncových účastníků. Telefonie ve všech lokalitách Kolejí (A-E) musí být zabezpečena jedním systémem bez využití externích modulů</w:t>
      </w:r>
      <w:r w:rsidR="00526ECD" w:rsidRPr="006A73C5">
        <w:t xml:space="preserve"> či převodníků</w:t>
      </w:r>
      <w:r w:rsidR="00E6185F" w:rsidRPr="006A73C5">
        <w:t>. Síťování více menších komunikačních systémů není přípustné.</w:t>
      </w:r>
    </w:p>
    <w:p w14:paraId="73FD8649" w14:textId="77777777" w:rsidR="00E6185F" w:rsidRPr="006A73C5" w:rsidRDefault="00E6185F" w:rsidP="00E6185F">
      <w:r w:rsidRPr="006A73C5">
        <w:t>Rozsah uživatelských funkcí na digitálních účastnických portech i IP musí být shodný.</w:t>
      </w:r>
    </w:p>
    <w:p w14:paraId="6015A2C4" w14:textId="6B2DF055" w:rsidR="00E6185F" w:rsidRPr="006A73C5" w:rsidRDefault="00E6185F" w:rsidP="00526ECD">
      <w:pPr>
        <w:jc w:val="both"/>
      </w:pPr>
      <w:r w:rsidRPr="006A73C5">
        <w:t xml:space="preserve">Komunikační systém bude instalován na lokalitě </w:t>
      </w:r>
      <w:r w:rsidR="008C573B">
        <w:t>Koleje</w:t>
      </w:r>
      <w:r w:rsidRPr="006A73C5">
        <w:t xml:space="preserve"> A a v rámci tohoto jednoho systému budou pokryty i potřeby lokality </w:t>
      </w:r>
      <w:r w:rsidR="008C573B">
        <w:t>Koleje</w:t>
      </w:r>
      <w:r w:rsidRPr="006A73C5">
        <w:t xml:space="preserve"> B. Komunikační systém musí být začleněn do komunikační infrastruktury VŠB-TUO </w:t>
      </w:r>
      <w:r w:rsidR="00526ECD" w:rsidRPr="006A73C5">
        <w:t xml:space="preserve">přes </w:t>
      </w:r>
      <w:r w:rsidR="0096236E" w:rsidRPr="006A73C5">
        <w:t>1x</w:t>
      </w:r>
      <w:r w:rsidRPr="006A73C5">
        <w:t xml:space="preserve">ISDN </w:t>
      </w:r>
      <w:r w:rsidR="00526ECD" w:rsidRPr="006A73C5">
        <w:t xml:space="preserve">PRI </w:t>
      </w:r>
      <w:r w:rsidR="0096236E" w:rsidRPr="006A73C5">
        <w:t>(signalizace QSIG s podporou Cornet-NQ</w:t>
      </w:r>
      <w:r w:rsidR="000774DD" w:rsidRPr="006A73C5">
        <w:t xml:space="preserve"> z důvodu podpory síťových služeb</w:t>
      </w:r>
      <w:r w:rsidR="0096236E" w:rsidRPr="006A73C5">
        <w:t xml:space="preserve">) </w:t>
      </w:r>
      <w:r w:rsidR="00526ECD" w:rsidRPr="006A73C5">
        <w:t>s využitím stávajících MM optických vláken</w:t>
      </w:r>
      <w:r w:rsidRPr="006A73C5">
        <w:t>, zakončené na centrálním systému H</w:t>
      </w:r>
      <w:r w:rsidR="00526ECD" w:rsidRPr="006A73C5">
        <w:t>4</w:t>
      </w:r>
      <w:r w:rsidRPr="006A73C5">
        <w:t>000 na lokalitě Rektorát. Kapacit</w:t>
      </w:r>
      <w:r w:rsidR="000774DD" w:rsidRPr="006A73C5">
        <w:t>u</w:t>
      </w:r>
      <w:r w:rsidRPr="006A73C5">
        <w:t xml:space="preserve"> </w:t>
      </w:r>
      <w:r w:rsidR="0096236E" w:rsidRPr="006A73C5">
        <w:lastRenderedPageBreak/>
        <w:t xml:space="preserve">ISDN PRI </w:t>
      </w:r>
      <w:r w:rsidR="000774DD" w:rsidRPr="006A73C5">
        <w:t xml:space="preserve">ale zadavatel požaduje dimenzovat na </w:t>
      </w:r>
      <w:r w:rsidRPr="006A73C5">
        <w:t>60 kanálů</w:t>
      </w:r>
      <w:r w:rsidR="000774DD" w:rsidRPr="006A73C5">
        <w:t>, čili 2xISDN PRI, přičemž pro druhé rozhraní si zadavatel nechává možnost využití v budoucnu</w:t>
      </w:r>
      <w:r w:rsidRPr="006A73C5">
        <w:t xml:space="preserve">. </w:t>
      </w:r>
    </w:p>
    <w:p w14:paraId="391229F9" w14:textId="5C69D21B" w:rsidR="00E6185F" w:rsidRPr="006A73C5" w:rsidRDefault="00E6185F" w:rsidP="006A73C5">
      <w:pPr>
        <w:jc w:val="both"/>
      </w:pPr>
      <w:r w:rsidRPr="006A73C5">
        <w:t xml:space="preserve">Lokality </w:t>
      </w:r>
      <w:r w:rsidR="007D219B">
        <w:t>USSS</w:t>
      </w:r>
      <w:r w:rsidRPr="006A73C5">
        <w:t xml:space="preserve"> nebudou mít vlastní odchod do veřejné telefonní sítě, odchozí volání bude realizováno přes centrální systém HiPath 4000 na lokalitě Rektorát.</w:t>
      </w:r>
    </w:p>
    <w:p w14:paraId="08E0F719" w14:textId="77777777" w:rsidR="00E6185F" w:rsidRPr="006A73C5" w:rsidRDefault="00E6185F" w:rsidP="006A73C5">
      <w:pPr>
        <w:jc w:val="both"/>
      </w:pPr>
      <w:r w:rsidRPr="006A73C5">
        <w:t>Komunikační systém musí být redundantní minimálně na úrovni redundance dat systému (2 HDD / 2 flash karty, apod.)</w:t>
      </w:r>
    </w:p>
    <w:p w14:paraId="3974320E" w14:textId="77777777" w:rsidR="006A73C5" w:rsidRPr="006C4B62" w:rsidRDefault="006A73C5" w:rsidP="00E6185F">
      <w:pPr>
        <w:rPr>
          <w:sz w:val="24"/>
          <w:szCs w:val="24"/>
        </w:rPr>
      </w:pPr>
    </w:p>
    <w:p w14:paraId="39B110DD" w14:textId="62AE3EEE" w:rsidR="00E6185F" w:rsidRPr="0085000E" w:rsidRDefault="00E6185F" w:rsidP="00E6185F">
      <w:pPr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 xml:space="preserve">Kapacitní požadavky pro lokality </w:t>
      </w:r>
      <w:r w:rsidR="007D219B" w:rsidRPr="0085000E">
        <w:rPr>
          <w:b/>
          <w:sz w:val="24"/>
          <w:szCs w:val="24"/>
        </w:rPr>
        <w:t>USSS</w:t>
      </w:r>
      <w:r w:rsidRPr="0085000E">
        <w:rPr>
          <w:b/>
          <w:sz w:val="24"/>
          <w:szCs w:val="24"/>
        </w:rPr>
        <w:t xml:space="preserve"> </w:t>
      </w:r>
    </w:p>
    <w:p w14:paraId="58E0B697" w14:textId="77777777" w:rsidR="00E6185F" w:rsidRPr="00F32617" w:rsidRDefault="00E6185F" w:rsidP="006A73C5">
      <w:pPr>
        <w:jc w:val="both"/>
      </w:pPr>
      <w:r w:rsidRPr="00F32617">
        <w:t xml:space="preserve">Systém musí být v rozměrech umožňujících instalaci do standardizovaných 19“ datových rozvaděčů. </w:t>
      </w:r>
      <w:r w:rsidR="0056408C">
        <w:t>Účastník</w:t>
      </w:r>
      <w:r w:rsidRPr="00F32617">
        <w:t xml:space="preserve"> musí do nabídky zahrnout i příslušný datový rozvaděč, plně vybavený pro instalaci datových technologií (ventilační jednotky, zemnící lišty) v rozměrech min. 600x800 mm a výšce 42U.</w:t>
      </w:r>
    </w:p>
    <w:p w14:paraId="3FC9A38F" w14:textId="77777777" w:rsidR="006A73C5" w:rsidRDefault="006A73C5" w:rsidP="00E6185F">
      <w:pPr>
        <w:rPr>
          <w:b/>
        </w:rPr>
      </w:pPr>
    </w:p>
    <w:p w14:paraId="35948396" w14:textId="09F6DC47" w:rsidR="00E6185F" w:rsidRPr="00F32617" w:rsidRDefault="00E6185F" w:rsidP="00E6185F">
      <w:pPr>
        <w:rPr>
          <w:b/>
        </w:rPr>
      </w:pPr>
      <w:r w:rsidRPr="00F32617">
        <w:rPr>
          <w:b/>
        </w:rPr>
        <w:t xml:space="preserve">Upgrade komunikačního systému Hicom na OpenScape 4000 verze </w:t>
      </w:r>
      <w:r w:rsidR="00305C9A">
        <w:rPr>
          <w:b/>
        </w:rPr>
        <w:t>10</w:t>
      </w:r>
      <w:bookmarkStart w:id="5" w:name="_GoBack"/>
      <w:bookmarkEnd w:id="5"/>
    </w:p>
    <w:p w14:paraId="1D88D4C8" w14:textId="77777777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Řízení EcoServer v 19" provedení + 19" účastnické boxy</w:t>
      </w:r>
    </w:p>
    <w:p w14:paraId="2557B47B" w14:textId="77777777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systémové kabely 2m zakončené patch panely</w:t>
      </w:r>
    </w:p>
    <w:p w14:paraId="30B39286" w14:textId="77777777" w:rsidR="00E6185F" w:rsidRPr="0096236E" w:rsidRDefault="00E6185F" w:rsidP="00E6185F">
      <w:pPr>
        <w:pStyle w:val="Odstavecseseznamem"/>
        <w:numPr>
          <w:ilvl w:val="0"/>
          <w:numId w:val="13"/>
        </w:numPr>
      </w:pPr>
      <w:r w:rsidRPr="0096236E">
        <w:t>72 digitálních účastnických portů (3x SLMU)</w:t>
      </w:r>
    </w:p>
    <w:p w14:paraId="7408EF3A" w14:textId="77777777" w:rsidR="00E6185F" w:rsidRPr="00F32617" w:rsidRDefault="00E6185F" w:rsidP="00E6185F">
      <w:pPr>
        <w:pStyle w:val="Odstavecseseznamem"/>
      </w:pPr>
      <w:r w:rsidRPr="00F32617">
        <w:t>Rozdělení portů na budovy</w:t>
      </w:r>
      <w:r w:rsidR="001D597C">
        <w:t xml:space="preserve"> při realizaci</w:t>
      </w:r>
      <w:r w:rsidRPr="00F32617">
        <w:t>:</w:t>
      </w:r>
    </w:p>
    <w:p w14:paraId="15CE6807" w14:textId="77777777" w:rsidR="00E6185F" w:rsidRPr="00F32617" w:rsidRDefault="00E6185F" w:rsidP="00E6185F">
      <w:pPr>
        <w:pStyle w:val="Odstavecseseznamem"/>
      </w:pPr>
    </w:p>
    <w:p w14:paraId="2A799402" w14:textId="77777777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23 portů pro budovy A</w:t>
      </w:r>
      <w:r w:rsidR="0096236E">
        <w:t>/</w:t>
      </w:r>
      <w:r w:rsidRPr="00F32617">
        <w:t>B</w:t>
      </w:r>
    </w:p>
    <w:p w14:paraId="152FE4CD" w14:textId="77777777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13 portu pro budovu C</w:t>
      </w:r>
    </w:p>
    <w:p w14:paraId="6969384E" w14:textId="77777777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6 portů pro budovu D</w:t>
      </w:r>
    </w:p>
    <w:p w14:paraId="04A1EC25" w14:textId="1DB7AF3C" w:rsidR="00E6185F" w:rsidRDefault="00E6185F" w:rsidP="00E6185F">
      <w:pPr>
        <w:pStyle w:val="Odstavecseseznamem"/>
        <w:numPr>
          <w:ilvl w:val="0"/>
          <w:numId w:val="13"/>
        </w:numPr>
      </w:pPr>
      <w:r w:rsidRPr="00F32617">
        <w:t>7 portů pro budovu E</w:t>
      </w:r>
    </w:p>
    <w:p w14:paraId="2ACA47A5" w14:textId="5FA72EB3" w:rsidR="00B45580" w:rsidRPr="00B45580" w:rsidRDefault="00B45580" w:rsidP="00E8762D">
      <w:pPr>
        <w:ind w:left="360" w:firstLine="348"/>
      </w:pPr>
      <w:r>
        <w:rPr>
          <w:lang w:val="en-US"/>
        </w:rPr>
        <w:t>(</w:t>
      </w:r>
      <w:r w:rsidR="0085000E">
        <w:t>ostatní</w:t>
      </w:r>
      <w:r>
        <w:rPr>
          <w:lang w:val="en-US"/>
        </w:rPr>
        <w:t xml:space="preserve"> do po</w:t>
      </w:r>
      <w:r>
        <w:t>čtu 72 je rezerva)</w:t>
      </w:r>
    </w:p>
    <w:p w14:paraId="52ECF8D1" w14:textId="77777777" w:rsidR="00A73872" w:rsidRDefault="00A73872" w:rsidP="00A73872">
      <w:pPr>
        <w:pStyle w:val="Odstavecseseznamem"/>
      </w:pPr>
    </w:p>
    <w:p w14:paraId="68125EA9" w14:textId="77777777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336 analogových portů s funkcí CLIP (14x SLMAV)</w:t>
      </w:r>
    </w:p>
    <w:p w14:paraId="23C67973" w14:textId="77777777" w:rsidR="00E6185F" w:rsidRPr="00F32617" w:rsidRDefault="00E6185F" w:rsidP="00E6185F">
      <w:pPr>
        <w:ind w:firstLine="708"/>
      </w:pPr>
      <w:r w:rsidRPr="00F32617">
        <w:t>Rozdělení portů na budovy</w:t>
      </w:r>
      <w:r w:rsidR="001D597C">
        <w:t xml:space="preserve"> při realizaci</w:t>
      </w:r>
      <w:r w:rsidRPr="00F32617">
        <w:t>:</w:t>
      </w:r>
    </w:p>
    <w:p w14:paraId="102DF484" w14:textId="77777777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158 portů pro budovy AB</w:t>
      </w:r>
    </w:p>
    <w:p w14:paraId="4E0A2739" w14:textId="77777777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39 portu pro budovu C</w:t>
      </w:r>
    </w:p>
    <w:p w14:paraId="768F832E" w14:textId="77777777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34 portů pro budovu D</w:t>
      </w:r>
    </w:p>
    <w:p w14:paraId="7AA874DE" w14:textId="1BA4394C" w:rsidR="00E6185F" w:rsidRDefault="00E6185F" w:rsidP="00E6185F">
      <w:pPr>
        <w:pStyle w:val="Odstavecseseznamem"/>
        <w:numPr>
          <w:ilvl w:val="0"/>
          <w:numId w:val="13"/>
        </w:numPr>
      </w:pPr>
      <w:r w:rsidRPr="00F32617">
        <w:t>86 portů pro budovu E</w:t>
      </w:r>
    </w:p>
    <w:p w14:paraId="0DACC57F" w14:textId="2BB77454" w:rsidR="00B45580" w:rsidRPr="00B45580" w:rsidRDefault="00E8762D" w:rsidP="00E8762D">
      <w:pPr>
        <w:pStyle w:val="Odstavecseseznamem"/>
      </w:pPr>
      <w:r>
        <w:rPr>
          <w:lang w:val="en-US"/>
        </w:rPr>
        <w:t>(</w:t>
      </w:r>
      <w:r w:rsidR="0085000E">
        <w:rPr>
          <w:lang w:val="en-US"/>
        </w:rPr>
        <w:t>ostatní</w:t>
      </w:r>
      <w:r w:rsidR="0085000E" w:rsidRPr="00B45580">
        <w:rPr>
          <w:lang w:val="en-US"/>
        </w:rPr>
        <w:t xml:space="preserve"> </w:t>
      </w:r>
      <w:r w:rsidR="00B45580" w:rsidRPr="00B45580">
        <w:rPr>
          <w:lang w:val="en-US"/>
        </w:rPr>
        <w:t>do po</w:t>
      </w:r>
      <w:r w:rsidR="00B45580">
        <w:t>čtu 336 je rezerva)</w:t>
      </w:r>
    </w:p>
    <w:p w14:paraId="0636CD70" w14:textId="77777777" w:rsidR="00B45580" w:rsidRPr="00F32617" w:rsidRDefault="00B45580" w:rsidP="00B45580">
      <w:pPr>
        <w:ind w:left="360"/>
      </w:pPr>
    </w:p>
    <w:p w14:paraId="2B985DEA" w14:textId="77777777" w:rsidR="00E6185F" w:rsidRPr="00F32617" w:rsidRDefault="003A3F13" w:rsidP="00E6185F">
      <w:pPr>
        <w:pStyle w:val="Odstavecseseznamem"/>
        <w:numPr>
          <w:ilvl w:val="0"/>
          <w:numId w:val="13"/>
        </w:numPr>
      </w:pPr>
      <w:r>
        <w:t>2x ISDN PRI (6</w:t>
      </w:r>
      <w:r w:rsidR="00E6185F" w:rsidRPr="00F32617">
        <w:t>0 kanálů, DIUT)</w:t>
      </w:r>
    </w:p>
    <w:p w14:paraId="0F5797D4" w14:textId="77777777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VoIP karta (pro IP telefony / IP trunk; 120 kanálů / 240 portů; STMIX)</w:t>
      </w:r>
    </w:p>
    <w:p w14:paraId="2E684DE0" w14:textId="77777777" w:rsidR="00E6185F" w:rsidRDefault="00E6185F" w:rsidP="00E6185F">
      <w:pPr>
        <w:pStyle w:val="Odstavecseseznamem"/>
        <w:numPr>
          <w:ilvl w:val="0"/>
          <w:numId w:val="13"/>
        </w:numPr>
      </w:pPr>
      <w:r w:rsidRPr="00F32617">
        <w:t>20x IP telefon v uvedené specifikaci</w:t>
      </w:r>
    </w:p>
    <w:p w14:paraId="72804424" w14:textId="6F337F45" w:rsidR="003A3F13" w:rsidRPr="00F32617" w:rsidRDefault="009C458B" w:rsidP="003A3F13">
      <w:pPr>
        <w:pStyle w:val="Odstavecseseznamem"/>
        <w:numPr>
          <w:ilvl w:val="0"/>
          <w:numId w:val="13"/>
        </w:numPr>
      </w:pPr>
      <w:r>
        <w:t>428</w:t>
      </w:r>
      <w:r w:rsidR="003A3F13" w:rsidRPr="00F32617">
        <w:t>x Flex licence V8</w:t>
      </w:r>
    </w:p>
    <w:p w14:paraId="377BF147" w14:textId="055483D4" w:rsidR="00FB6753" w:rsidRDefault="00FB6753" w:rsidP="00FB6753"/>
    <w:p w14:paraId="165200CF" w14:textId="402F0AF1" w:rsidR="003A35A1" w:rsidRDefault="003A35A1" w:rsidP="00FB6753"/>
    <w:p w14:paraId="67C390FF" w14:textId="77777777" w:rsidR="003A35A1" w:rsidRDefault="003A35A1" w:rsidP="00FB6753"/>
    <w:p w14:paraId="0ABED1A3" w14:textId="77777777" w:rsidR="00E6185F" w:rsidRPr="00F32617" w:rsidRDefault="00E6185F" w:rsidP="00E6185F">
      <w:pPr>
        <w:rPr>
          <w:b/>
        </w:rPr>
      </w:pPr>
      <w:r w:rsidRPr="00F32617">
        <w:rPr>
          <w:b/>
        </w:rPr>
        <w:lastRenderedPageBreak/>
        <w:t>Rack</w:t>
      </w:r>
    </w:p>
    <w:p w14:paraId="557D0274" w14:textId="3785F73F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600x800, 42U, ventil</w:t>
      </w:r>
      <w:r w:rsidR="006A73C5">
        <w:t>ační jednotka, rozebí</w:t>
      </w:r>
      <w:r w:rsidR="003A3F13">
        <w:t>ratelný</w:t>
      </w:r>
      <w:r w:rsidR="00C76A87">
        <w:t xml:space="preserve"> (</w:t>
      </w:r>
      <w:r w:rsidR="000C66F8">
        <w:t xml:space="preserve">3ks </w:t>
      </w:r>
      <w:r w:rsidR="00C76A87">
        <w:t>umístění v </w:t>
      </w:r>
      <w:r w:rsidR="00DD208C">
        <w:t>budově A a 1ks</w:t>
      </w:r>
      <w:r w:rsidR="000C66F8">
        <w:t xml:space="preserve"> v budově C</w:t>
      </w:r>
      <w:r w:rsidR="00C76A87">
        <w:t xml:space="preserve">) </w:t>
      </w:r>
      <w:r w:rsidR="003A3F13">
        <w:t xml:space="preserve">– </w:t>
      </w:r>
      <w:r w:rsidR="000C66F8">
        <w:t>4</w:t>
      </w:r>
      <w:r w:rsidRPr="00F32617">
        <w:t xml:space="preserve"> ks</w:t>
      </w:r>
    </w:p>
    <w:p w14:paraId="37D3EFE0" w14:textId="6FA2F14D" w:rsidR="00E6185F" w:rsidRDefault="00E6185F" w:rsidP="00E6185F">
      <w:pPr>
        <w:pStyle w:val="Odstavecseseznamem"/>
        <w:numPr>
          <w:ilvl w:val="0"/>
          <w:numId w:val="13"/>
        </w:numPr>
      </w:pPr>
      <w:r w:rsidRPr="00F32617">
        <w:t>Polička perforovaná 1U/350mm, max.</w:t>
      </w:r>
      <w:r w:rsidR="006A73C5">
        <w:t xml:space="preserve"> </w:t>
      </w:r>
      <w:r w:rsidRPr="00F32617">
        <w:t>nosnost 50kg – 1 ks</w:t>
      </w:r>
    </w:p>
    <w:p w14:paraId="3FEC9093" w14:textId="77777777" w:rsidR="008C573B" w:rsidRDefault="008C573B" w:rsidP="00E6185F">
      <w:pPr>
        <w:rPr>
          <w:b/>
        </w:rPr>
      </w:pPr>
    </w:p>
    <w:p w14:paraId="79B3D7EC" w14:textId="5CE45DBA" w:rsidR="00E6185F" w:rsidRPr="00F32617" w:rsidRDefault="00E6185F" w:rsidP="00E6185F">
      <w:pPr>
        <w:rPr>
          <w:b/>
        </w:rPr>
      </w:pPr>
      <w:r w:rsidRPr="00F32617">
        <w:rPr>
          <w:b/>
        </w:rPr>
        <w:t>Zálohování UPS, 19" provedení, záloha cca 2h</w:t>
      </w:r>
    </w:p>
    <w:p w14:paraId="036F6409" w14:textId="77777777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UPS 1/1fáze, 2,2kVA -  5PX 2200i RT2U – 1 ks</w:t>
      </w:r>
    </w:p>
    <w:p w14:paraId="635D64F0" w14:textId="77777777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Externí baterie pro UPS -  5PX EBM 48V RT2U – 2 ks</w:t>
      </w:r>
    </w:p>
    <w:p w14:paraId="10F649D2" w14:textId="163B836F" w:rsidR="00E6185F" w:rsidRPr="00F32617" w:rsidRDefault="00E6185F" w:rsidP="00E6185F">
      <w:pPr>
        <w:pStyle w:val="Odstavecseseznamem"/>
        <w:numPr>
          <w:ilvl w:val="0"/>
          <w:numId w:val="13"/>
        </w:numPr>
      </w:pPr>
      <w:r w:rsidRPr="00F32617">
        <w:t>Recyklační poplatek – 2 ks</w:t>
      </w:r>
    </w:p>
    <w:p w14:paraId="537AAFB7" w14:textId="77777777" w:rsidR="00E6185F" w:rsidRPr="00F32617" w:rsidRDefault="00E6185F" w:rsidP="00E6185F">
      <w:pPr>
        <w:rPr>
          <w:b/>
        </w:rPr>
      </w:pPr>
    </w:p>
    <w:p w14:paraId="24B3E2B0" w14:textId="77777777" w:rsidR="00E6185F" w:rsidRPr="00F32617" w:rsidRDefault="00E6185F" w:rsidP="00E6185F">
      <w:pPr>
        <w:rPr>
          <w:b/>
        </w:rPr>
      </w:pPr>
      <w:r w:rsidRPr="00F32617">
        <w:rPr>
          <w:b/>
        </w:rPr>
        <w:t>Optický převodník</w:t>
      </w:r>
    </w:p>
    <w:p w14:paraId="240C404C" w14:textId="77777777" w:rsidR="00E6185F" w:rsidRPr="000774DD" w:rsidRDefault="00E6185F" w:rsidP="00E6185F">
      <w:pPr>
        <w:pStyle w:val="Odstavecseseznamem"/>
        <w:numPr>
          <w:ilvl w:val="0"/>
          <w:numId w:val="13"/>
        </w:numPr>
      </w:pPr>
      <w:r w:rsidRPr="000774DD">
        <w:t xml:space="preserve">Převodník E1 (120 Ohm) na </w:t>
      </w:r>
      <w:r w:rsidR="000774DD">
        <w:t xml:space="preserve">MM </w:t>
      </w:r>
      <w:r w:rsidRPr="000774DD">
        <w:t>opti</w:t>
      </w:r>
      <w:r w:rsidR="000774DD">
        <w:t xml:space="preserve">ckou trasu pro napojení na lokalitu Rektorát </w:t>
      </w:r>
      <w:r w:rsidRPr="000774DD">
        <w:t xml:space="preserve">– </w:t>
      </w:r>
      <w:r w:rsidR="00626845">
        <w:t>2</w:t>
      </w:r>
      <w:r w:rsidRPr="000774DD">
        <w:t xml:space="preserve"> ks</w:t>
      </w:r>
    </w:p>
    <w:p w14:paraId="050B6C98" w14:textId="77777777" w:rsidR="00E6185F" w:rsidRDefault="00E6185F" w:rsidP="00E6185F">
      <w:pPr>
        <w:rPr>
          <w:b/>
        </w:rPr>
      </w:pPr>
    </w:p>
    <w:p w14:paraId="489DA8F4" w14:textId="77777777" w:rsidR="008C573B" w:rsidRDefault="008C573B" w:rsidP="00E6185F">
      <w:pPr>
        <w:rPr>
          <w:b/>
          <w:sz w:val="24"/>
          <w:szCs w:val="24"/>
        </w:rPr>
      </w:pPr>
    </w:p>
    <w:p w14:paraId="2251B38D" w14:textId="095979AD" w:rsidR="00E6185F" w:rsidRPr="0085000E" w:rsidRDefault="00E6185F" w:rsidP="00E6185F">
      <w:pPr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Požadavky na koncové přístroje</w:t>
      </w:r>
    </w:p>
    <w:p w14:paraId="3361E1C5" w14:textId="44EB6DCA" w:rsidR="00E6185F" w:rsidRPr="00F32617" w:rsidRDefault="00E6185F" w:rsidP="00E6185F">
      <w:r w:rsidRPr="00F32617">
        <w:t xml:space="preserve">Součástí nabídky a dodávky </w:t>
      </w:r>
      <w:r w:rsidR="00A73872">
        <w:t xml:space="preserve">je </w:t>
      </w:r>
      <w:r w:rsidR="000774DD">
        <w:t xml:space="preserve">20 </w:t>
      </w:r>
      <w:r w:rsidR="00A73872">
        <w:t xml:space="preserve">ks </w:t>
      </w:r>
      <w:r w:rsidRPr="00F32617">
        <w:t>IP koncových přístrojů splňující</w:t>
      </w:r>
      <w:r w:rsidR="008C573B">
        <w:t>ch</w:t>
      </w:r>
      <w:r w:rsidRPr="00F32617">
        <w:t xml:space="preserve"> minimální</w:t>
      </w:r>
      <w:r w:rsidR="008C573B">
        <w:t xml:space="preserve"> níže</w:t>
      </w:r>
      <w:r w:rsidRPr="00F32617">
        <w:t xml:space="preserve"> uvedené požadavky</w:t>
      </w:r>
      <w:r w:rsidR="008C573B">
        <w:t>:</w:t>
      </w:r>
      <w:r w:rsidRPr="00F32617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558"/>
      </w:tblGrid>
      <w:tr w:rsidR="00E6185F" w14:paraId="171C2A08" w14:textId="77777777" w:rsidTr="00D81290">
        <w:tc>
          <w:tcPr>
            <w:tcW w:w="1838" w:type="dxa"/>
          </w:tcPr>
          <w:p w14:paraId="4D1F0939" w14:textId="77777777" w:rsidR="00E6185F" w:rsidRDefault="00E6185F" w:rsidP="00D81290">
            <w:r>
              <w:t>IP telefon – Typ D</w:t>
            </w:r>
          </w:p>
        </w:tc>
        <w:tc>
          <w:tcPr>
            <w:tcW w:w="7558" w:type="dxa"/>
          </w:tcPr>
          <w:p w14:paraId="3AB1B490" w14:textId="77777777" w:rsidR="00E6185F" w:rsidRPr="00AC6329" w:rsidRDefault="00E6185F" w:rsidP="00D81290">
            <w:r w:rsidRPr="00AC6329">
              <w:t>Dvouřádkový grafický displej, monochromatický</w:t>
            </w:r>
          </w:p>
          <w:p w14:paraId="4E68BE85" w14:textId="77777777" w:rsidR="00E6185F" w:rsidRPr="00AC6329" w:rsidRDefault="00E6185F" w:rsidP="00D81290">
            <w:r w:rsidRPr="00AC6329">
              <w:t>4 volně programovatelná tlačítka funkcí a LED signalizací (předem naprogramovaná s funkcemi: seznam volání, kontakty, přesměrování, opakování volby)</w:t>
            </w:r>
          </w:p>
          <w:p w14:paraId="2361D5BA" w14:textId="77777777" w:rsidR="00E6185F" w:rsidRPr="00AC6329" w:rsidRDefault="00E6185F" w:rsidP="00D81290">
            <w:r w:rsidRPr="00AC6329">
              <w:t>5 pevných tlačítek funkcí (přidržení, předání, konference, nastavení, zprávy)</w:t>
            </w:r>
          </w:p>
          <w:p w14:paraId="7B50F923" w14:textId="77777777" w:rsidR="00E6185F" w:rsidRPr="00AC6329" w:rsidRDefault="00E6185F" w:rsidP="00D81290">
            <w:r w:rsidRPr="00AC6329">
              <w:t xml:space="preserve">Navigační prvek </w:t>
            </w:r>
          </w:p>
          <w:p w14:paraId="6C72B93C" w14:textId="77777777" w:rsidR="00E6185F" w:rsidRPr="00CE1CC1" w:rsidRDefault="00E6185F" w:rsidP="00D81290">
            <w:r w:rsidRPr="00CE1CC1">
              <w:t>+/- tlačítka ovládání nastavení</w:t>
            </w:r>
            <w:r>
              <w:t xml:space="preserve"> hlasitosti</w:t>
            </w:r>
          </w:p>
          <w:p w14:paraId="08392704" w14:textId="77777777" w:rsidR="00E6185F" w:rsidRPr="00AC6329" w:rsidRDefault="00E6185F" w:rsidP="00D81290">
            <w:r w:rsidRPr="00AC6329">
              <w:t>Hlasitý příposlech/hlasité telefonování (plně duplexní)</w:t>
            </w:r>
          </w:p>
          <w:p w14:paraId="139A6D71" w14:textId="77777777" w:rsidR="00E6185F" w:rsidRPr="00AC6329" w:rsidRDefault="00E6185F" w:rsidP="00D81290">
            <w:r w:rsidRPr="00AC6329">
              <w:t>Rozhraní náhlavní soupravy (DHSG/EHS)</w:t>
            </w:r>
          </w:p>
          <w:p w14:paraId="2665493E" w14:textId="77777777" w:rsidR="00E6185F" w:rsidRDefault="00E6185F" w:rsidP="00D81290">
            <w:r w:rsidRPr="00EB084D">
              <w:t>možnost instalace na zeď</w:t>
            </w:r>
            <w:r w:rsidRPr="00AC6329">
              <w:t xml:space="preserve"> </w:t>
            </w:r>
          </w:p>
          <w:p w14:paraId="16B7840D" w14:textId="77777777" w:rsidR="00E6185F" w:rsidRPr="00AC6329" w:rsidRDefault="00A73872" w:rsidP="00D81290">
            <w:r>
              <w:t xml:space="preserve">kodeky alespoň </w:t>
            </w:r>
            <w:r w:rsidR="00E6185F" w:rsidRPr="00AC6329">
              <w:t xml:space="preserve">G.711 </w:t>
            </w:r>
            <w:r>
              <w:t xml:space="preserve"> A-law a G.729AB</w:t>
            </w:r>
          </w:p>
          <w:p w14:paraId="1951A6DD" w14:textId="77777777" w:rsidR="00E6185F" w:rsidRPr="00AC6329" w:rsidRDefault="00A73872" w:rsidP="00D81290">
            <w:r>
              <w:t xml:space="preserve">podpora </w:t>
            </w:r>
            <w:r w:rsidR="00E6185F" w:rsidRPr="00AC6329">
              <w:t>LAN 10/100/1000 Mbit/s</w:t>
            </w:r>
          </w:p>
          <w:p w14:paraId="6C7B3257" w14:textId="77777777" w:rsidR="00E6185F" w:rsidRPr="00AC6329" w:rsidRDefault="00E6185F" w:rsidP="00D81290">
            <w:r w:rsidRPr="00AC6329">
              <w:t>Energy Efficient Ethernet (IEEE 802.3az)</w:t>
            </w:r>
          </w:p>
          <w:p w14:paraId="4D472D70" w14:textId="77777777" w:rsidR="00E6185F" w:rsidRPr="00AC6329" w:rsidRDefault="00E6185F" w:rsidP="00D81290">
            <w:r w:rsidRPr="00AC6329">
              <w:t>Autenti</w:t>
            </w:r>
            <w:r w:rsidR="001D597C">
              <w:t>za</w:t>
            </w:r>
            <w:r w:rsidRPr="00AC6329">
              <w:t>ce na vrstvě 2 (IEEE 802.1x)</w:t>
            </w:r>
          </w:p>
          <w:p w14:paraId="3EA70904" w14:textId="77777777" w:rsidR="00E6185F" w:rsidRPr="00AC6329" w:rsidRDefault="00E6185F" w:rsidP="00D81290">
            <w:r w:rsidRPr="00AC6329">
              <w:t>Šifrov</w:t>
            </w:r>
            <w:r w:rsidR="00A73872">
              <w:t xml:space="preserve">ání </w:t>
            </w:r>
            <w:r w:rsidRPr="00AC6329">
              <w:t>SRTP</w:t>
            </w:r>
          </w:p>
          <w:p w14:paraId="2911A470" w14:textId="77777777" w:rsidR="00A73872" w:rsidRDefault="00A73872" w:rsidP="00D81290">
            <w:r>
              <w:t>Šifrovaná SIP s</w:t>
            </w:r>
            <w:r w:rsidR="00E6185F" w:rsidRPr="00AC6329">
              <w:t xml:space="preserve">ignalizace </w:t>
            </w:r>
            <w:r>
              <w:t xml:space="preserve">přes </w:t>
            </w:r>
            <w:r w:rsidR="00E6185F" w:rsidRPr="00AC6329">
              <w:t xml:space="preserve">TLS </w:t>
            </w:r>
            <w:r>
              <w:t>(SIPS)</w:t>
            </w:r>
          </w:p>
          <w:p w14:paraId="24DE2931" w14:textId="77777777" w:rsidR="00E6185F" w:rsidRPr="00AC6329" w:rsidRDefault="00E6185F" w:rsidP="00D81290">
            <w:r w:rsidRPr="00AC6329">
              <w:t xml:space="preserve">Podpora digitálních </w:t>
            </w:r>
            <w:r w:rsidR="006A73C5" w:rsidRPr="00AC6329">
              <w:t>certifikátů (X. 509</w:t>
            </w:r>
            <w:r w:rsidRPr="00AC6329">
              <w:t xml:space="preserve"> V3)</w:t>
            </w:r>
          </w:p>
          <w:p w14:paraId="79DF01BB" w14:textId="77777777" w:rsidR="00E6185F" w:rsidRPr="00AC6329" w:rsidRDefault="00E6185F" w:rsidP="00D81290">
            <w:r w:rsidRPr="00AC6329">
              <w:t xml:space="preserve">LLDP-MED </w:t>
            </w:r>
          </w:p>
          <w:p w14:paraId="7B526754" w14:textId="77777777" w:rsidR="00E6185F" w:rsidRPr="00AC6329" w:rsidRDefault="00E6185F" w:rsidP="00D81290">
            <w:r w:rsidRPr="00AC6329">
              <w:t>QoS (DiffServ a IEEE 802.1Q)</w:t>
            </w:r>
          </w:p>
          <w:p w14:paraId="23530039" w14:textId="77777777" w:rsidR="00E6185F" w:rsidRPr="00AC6329" w:rsidRDefault="00E6185F" w:rsidP="00D81290">
            <w:r w:rsidRPr="00AC6329">
              <w:t>IEEE 802.1Q</w:t>
            </w:r>
          </w:p>
          <w:p w14:paraId="423C442D" w14:textId="77777777" w:rsidR="00E6185F" w:rsidRPr="00AC6329" w:rsidRDefault="00E6185F" w:rsidP="00D81290">
            <w:r w:rsidRPr="00AC6329">
              <w:t>Power over Ethernet (PoE, IEEE 802.af)</w:t>
            </w:r>
          </w:p>
          <w:p w14:paraId="1D105867" w14:textId="77777777" w:rsidR="00E6185F" w:rsidRDefault="00E6185F" w:rsidP="00D81290"/>
        </w:tc>
      </w:tr>
    </w:tbl>
    <w:p w14:paraId="2E853ABE" w14:textId="353A8ED2" w:rsidR="00E6185F" w:rsidRDefault="00E6185F" w:rsidP="00E6185F"/>
    <w:p w14:paraId="2285E775" w14:textId="77777777" w:rsidR="008C573B" w:rsidRDefault="008C573B" w:rsidP="00E6185F"/>
    <w:p w14:paraId="482B4997" w14:textId="77777777" w:rsidR="00E6185F" w:rsidRPr="00A05311" w:rsidRDefault="00A73872" w:rsidP="00A05311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Záruka a p</w:t>
      </w:r>
      <w:r w:rsidR="00E6185F" w:rsidRPr="00A05311">
        <w:rPr>
          <w:b/>
          <w:sz w:val="28"/>
          <w:szCs w:val="28"/>
        </w:rPr>
        <w:t>odpora výrobce (Software support - SSP)</w:t>
      </w:r>
    </w:p>
    <w:p w14:paraId="3FB2F308" w14:textId="77777777" w:rsidR="00E6185F" w:rsidRPr="006C4B62" w:rsidRDefault="00E6185F" w:rsidP="00E6185F">
      <w:pPr>
        <w:pStyle w:val="Odstavecseseznamem"/>
        <w:rPr>
          <w:b/>
          <w:sz w:val="28"/>
          <w:szCs w:val="28"/>
        </w:rPr>
      </w:pPr>
    </w:p>
    <w:p w14:paraId="4F225731" w14:textId="121F44AA" w:rsidR="00E6185F" w:rsidRDefault="00E6185F" w:rsidP="006A73C5">
      <w:pPr>
        <w:jc w:val="both"/>
      </w:pPr>
      <w:r>
        <w:t xml:space="preserve">Do ceny nabízeného systému musí být zahrnuta </w:t>
      </w:r>
      <w:r w:rsidR="00A73872">
        <w:t xml:space="preserve">záruční doba na </w:t>
      </w:r>
      <w:r w:rsidR="00A06217">
        <w:t xml:space="preserve">celý </w:t>
      </w:r>
      <w:r w:rsidR="00A73872">
        <w:t>obsah dodávky, která bude zahrnovat podporu</w:t>
      </w:r>
      <w:r>
        <w:t xml:space="preserve"> výrobce</w:t>
      </w:r>
      <w:r w:rsidR="00A06217">
        <w:t xml:space="preserve"> – Software support</w:t>
      </w:r>
      <w:r>
        <w:t xml:space="preserve"> (SSP)</w:t>
      </w:r>
      <w:r w:rsidR="00A73872">
        <w:t>.</w:t>
      </w:r>
      <w:r>
        <w:t xml:space="preserve"> Toto SSP musí </w:t>
      </w:r>
      <w:r w:rsidR="00A73872">
        <w:t xml:space="preserve">obsahovat </w:t>
      </w:r>
      <w:r>
        <w:t>minimálně následující služby:</w:t>
      </w:r>
    </w:p>
    <w:p w14:paraId="7377D21B" w14:textId="77777777" w:rsidR="00E6185F" w:rsidRDefault="00E6185F" w:rsidP="006A73C5">
      <w:pPr>
        <w:pStyle w:val="Odstavecseseznamem"/>
        <w:numPr>
          <w:ilvl w:val="0"/>
          <w:numId w:val="4"/>
        </w:numPr>
        <w:spacing w:after="180"/>
        <w:contextualSpacing/>
        <w:jc w:val="both"/>
      </w:pPr>
      <w:r>
        <w:t>Minoritní opravné a aktualizační patche komunikační aplikace a základního operačního systému</w:t>
      </w:r>
    </w:p>
    <w:p w14:paraId="56C457CF" w14:textId="77777777" w:rsidR="00E6185F" w:rsidRDefault="00E6185F" w:rsidP="006A73C5">
      <w:pPr>
        <w:pStyle w:val="Odstavecseseznamem"/>
        <w:numPr>
          <w:ilvl w:val="0"/>
          <w:numId w:val="4"/>
        </w:numPr>
        <w:spacing w:after="180"/>
        <w:contextualSpacing/>
        <w:jc w:val="both"/>
      </w:pPr>
      <w:r>
        <w:t>Bezpečnostní patche</w:t>
      </w:r>
    </w:p>
    <w:p w14:paraId="45697FBC" w14:textId="77777777" w:rsidR="00E6185F" w:rsidRDefault="00E6185F" w:rsidP="006A73C5">
      <w:pPr>
        <w:pStyle w:val="Odstavecseseznamem"/>
        <w:numPr>
          <w:ilvl w:val="0"/>
          <w:numId w:val="4"/>
        </w:numPr>
        <w:spacing w:after="180"/>
        <w:contextualSpacing/>
        <w:jc w:val="both"/>
      </w:pPr>
      <w:r>
        <w:t xml:space="preserve">Možnost zadávat tikety na chyby v systému </w:t>
      </w:r>
      <w:r w:rsidR="00A73872">
        <w:t xml:space="preserve">a </w:t>
      </w:r>
      <w:r>
        <w:t>požadavky na změny ve funkcích systému, doplnění funkcí</w:t>
      </w:r>
    </w:p>
    <w:p w14:paraId="7B561979" w14:textId="77777777" w:rsidR="00E6185F" w:rsidRDefault="00E6185F" w:rsidP="006A73C5">
      <w:pPr>
        <w:pStyle w:val="Odstavecseseznamem"/>
        <w:numPr>
          <w:ilvl w:val="0"/>
          <w:numId w:val="4"/>
        </w:numPr>
        <w:spacing w:after="180"/>
        <w:contextualSpacing/>
        <w:jc w:val="both"/>
      </w:pPr>
      <w:r>
        <w:t xml:space="preserve">Upgrade licencí na novější major verzi systému, pokud bude uvolněna v průběhu trvání </w:t>
      </w:r>
      <w:r w:rsidR="00A73872">
        <w:t>záruky</w:t>
      </w:r>
    </w:p>
    <w:p w14:paraId="311C306B" w14:textId="118F5A30" w:rsidR="00E6185F" w:rsidRDefault="00A73872" w:rsidP="006A73C5">
      <w:pPr>
        <w:jc w:val="both"/>
      </w:pPr>
      <w:r w:rsidRPr="00A73872">
        <w:t>V</w:t>
      </w:r>
      <w:r>
        <w:t xml:space="preserve"> době záruky </w:t>
      </w:r>
      <w:r w:rsidR="004249BA">
        <w:t xml:space="preserve">zadavatel požaduje </w:t>
      </w:r>
      <w:r>
        <w:t>zahájení prací na odstranění závady do 4 hod. od nahlášení poruchy v pracovních dnech, zásah na místě bude požadován při výpadku více než 50</w:t>
      </w:r>
      <w:r>
        <w:rPr>
          <w:lang w:val="en-US"/>
        </w:rPr>
        <w:t xml:space="preserve">% </w:t>
      </w:r>
      <w:r w:rsidRPr="006A73C5">
        <w:t xml:space="preserve">poboček anebo výpadku konektivity na lokalitu Rektorát a to opět zásah na místě do 4 hod. od nahlášení. Pro nahlášení poruch požadujeme telefonický kontakt anebo přístup k zadávání poruch přes web, přičemž </w:t>
      </w:r>
      <w:r w:rsidR="0085688C">
        <w:t>zadavatel požaduje</w:t>
      </w:r>
      <w:r w:rsidR="0085688C" w:rsidRPr="006A73C5">
        <w:t xml:space="preserve"> </w:t>
      </w:r>
      <w:r w:rsidRPr="006A73C5">
        <w:t>možnost převzetí nahlášení poruchy v pracovní době dodavatele, která musí být během dne minimálně osm hodin denně (dodavatel si sám může tento čas určit).</w:t>
      </w:r>
    </w:p>
    <w:p w14:paraId="7F5E597F" w14:textId="3D95F534" w:rsidR="00B26CF0" w:rsidRDefault="00B26CF0" w:rsidP="006A73C5">
      <w:pPr>
        <w:jc w:val="both"/>
      </w:pPr>
      <w:r>
        <w:rPr>
          <w:rFonts w:eastAsia="Calibri"/>
          <w:i/>
        </w:rPr>
        <w:t xml:space="preserve">Záruční dobu </w:t>
      </w:r>
      <w:r w:rsidRPr="003A334A">
        <w:rPr>
          <w:rFonts w:eastAsia="Calibri"/>
          <w:i/>
        </w:rPr>
        <w:t>uvede</w:t>
      </w:r>
      <w:r>
        <w:rPr>
          <w:rFonts w:eastAsia="Calibri"/>
          <w:i/>
        </w:rPr>
        <w:t xml:space="preserve"> dodavatel</w:t>
      </w:r>
      <w:r w:rsidRPr="003A334A">
        <w:rPr>
          <w:rFonts w:eastAsia="Calibri"/>
          <w:i/>
        </w:rPr>
        <w:t xml:space="preserve"> v</w:t>
      </w:r>
      <w:r>
        <w:rPr>
          <w:rFonts w:eastAsia="Calibri"/>
          <w:i/>
        </w:rPr>
        <w:t> násobcích 12 měsíců</w:t>
      </w:r>
      <w:r w:rsidRPr="003A334A">
        <w:rPr>
          <w:rFonts w:eastAsia="Calibri"/>
          <w:i/>
        </w:rPr>
        <w:t xml:space="preserve">- maximální hodnota je </w:t>
      </w:r>
      <w:r>
        <w:rPr>
          <w:rFonts w:eastAsia="Calibri"/>
          <w:i/>
        </w:rPr>
        <w:t>6</w:t>
      </w:r>
      <w:r w:rsidRPr="003A334A">
        <w:rPr>
          <w:rFonts w:eastAsia="Calibri"/>
          <w:i/>
        </w:rPr>
        <w:t>0 měsíců</w:t>
      </w:r>
      <w:r>
        <w:rPr>
          <w:rFonts w:eastAsia="Calibri"/>
          <w:i/>
        </w:rPr>
        <w:t xml:space="preserve">, přičemž </w:t>
      </w:r>
      <w:r w:rsidR="000D0ACA">
        <w:rPr>
          <w:rFonts w:eastAsia="Calibri"/>
          <w:i/>
        </w:rPr>
        <w:t>počátek běhu záruční doby bude stanoven k okamžiku předání díla.</w:t>
      </w:r>
    </w:p>
    <w:p w14:paraId="217A3D48" w14:textId="2AA5FC28" w:rsidR="00F37637" w:rsidRPr="00F37637" w:rsidRDefault="00F37637" w:rsidP="00F37637">
      <w:pPr>
        <w:spacing w:line="240" w:lineRule="auto"/>
        <w:jc w:val="both"/>
        <w:rPr>
          <w:b/>
        </w:rPr>
      </w:pPr>
      <w:r w:rsidRPr="00F37637">
        <w:rPr>
          <w:b/>
        </w:rPr>
        <w:t xml:space="preserve">Dodavatel uvede </w:t>
      </w:r>
      <w:r w:rsidR="000D0ACA">
        <w:rPr>
          <w:b/>
        </w:rPr>
        <w:t xml:space="preserve">záruční dobu </w:t>
      </w:r>
      <w:r w:rsidRPr="00F37637">
        <w:rPr>
          <w:b/>
        </w:rPr>
        <w:t>do přílohy č. 2 –</w:t>
      </w:r>
      <w:r>
        <w:rPr>
          <w:b/>
        </w:rPr>
        <w:t xml:space="preserve"> položkový ceník. Tato položka </w:t>
      </w:r>
      <w:r w:rsidRPr="00F37637">
        <w:rPr>
          <w:b/>
        </w:rPr>
        <w:t>je předmětem hodnocení.</w:t>
      </w:r>
    </w:p>
    <w:p w14:paraId="698DC6C6" w14:textId="77777777" w:rsidR="006A73C5" w:rsidRPr="00F37637" w:rsidRDefault="006A73C5" w:rsidP="004E0CD9">
      <w:pPr>
        <w:jc w:val="both"/>
        <w:rPr>
          <w:b/>
        </w:rPr>
      </w:pPr>
    </w:p>
    <w:p w14:paraId="7F0F8F0A" w14:textId="77777777" w:rsidR="00E6185F" w:rsidRDefault="00E6185F" w:rsidP="003969F2">
      <w:pPr>
        <w:pStyle w:val="Odstavecseseznamem"/>
        <w:numPr>
          <w:ilvl w:val="0"/>
          <w:numId w:val="10"/>
        </w:numPr>
        <w:ind w:right="-233"/>
        <w:rPr>
          <w:b/>
          <w:sz w:val="28"/>
          <w:szCs w:val="28"/>
        </w:rPr>
      </w:pPr>
      <w:r w:rsidRPr="006C4B62">
        <w:rPr>
          <w:b/>
          <w:sz w:val="28"/>
          <w:szCs w:val="28"/>
        </w:rPr>
        <w:t xml:space="preserve">Požadavky na </w:t>
      </w:r>
      <w:r>
        <w:rPr>
          <w:b/>
          <w:sz w:val="28"/>
          <w:szCs w:val="28"/>
        </w:rPr>
        <w:t xml:space="preserve">komplexní </w:t>
      </w:r>
      <w:r w:rsidRPr="006C4B62">
        <w:rPr>
          <w:b/>
          <w:sz w:val="28"/>
          <w:szCs w:val="28"/>
        </w:rPr>
        <w:t xml:space="preserve">služby </w:t>
      </w:r>
      <w:r>
        <w:rPr>
          <w:b/>
          <w:sz w:val="28"/>
          <w:szCs w:val="28"/>
        </w:rPr>
        <w:t xml:space="preserve">dodavatele </w:t>
      </w:r>
      <w:r w:rsidRPr="006C4B62">
        <w:rPr>
          <w:b/>
          <w:sz w:val="28"/>
          <w:szCs w:val="28"/>
        </w:rPr>
        <w:t>v rámci dodání nového systému</w:t>
      </w:r>
    </w:p>
    <w:p w14:paraId="12EF6F2B" w14:textId="77777777" w:rsidR="00E6185F" w:rsidRPr="006C4B62" w:rsidRDefault="00E6185F" w:rsidP="00E6185F">
      <w:pPr>
        <w:pStyle w:val="Odstavecseseznamem"/>
        <w:rPr>
          <w:b/>
          <w:sz w:val="28"/>
          <w:szCs w:val="28"/>
        </w:rPr>
      </w:pPr>
    </w:p>
    <w:p w14:paraId="068873E8" w14:textId="77777777" w:rsidR="00E6185F" w:rsidRPr="00126618" w:rsidRDefault="00E6185F" w:rsidP="00E6185F">
      <w:r w:rsidRPr="00126618">
        <w:t>V rámci dodávky a implementace nového komunikačního systému musí být součástí dodávaných služeb níže vyjmenované úkony</w:t>
      </w:r>
      <w:r>
        <w:t xml:space="preserve"> s uvedeným rozsahem</w:t>
      </w:r>
      <w:r w:rsidRPr="00126618">
        <w:t>.</w:t>
      </w:r>
    </w:p>
    <w:p w14:paraId="3BD32FFF" w14:textId="77777777" w:rsidR="006A73C5" w:rsidRDefault="006A73C5" w:rsidP="00E6185F">
      <w:pPr>
        <w:spacing w:after="0"/>
        <w:rPr>
          <w:b/>
          <w:bCs/>
        </w:rPr>
      </w:pPr>
    </w:p>
    <w:p w14:paraId="52814D72" w14:textId="77777777" w:rsidR="00E6185F" w:rsidRPr="0085000E" w:rsidRDefault="00E6185F" w:rsidP="00E6185F">
      <w:pPr>
        <w:spacing w:after="0"/>
        <w:rPr>
          <w:rFonts w:ascii="Arial" w:hAnsi="Arial" w:cs="Arial"/>
          <w:sz w:val="24"/>
          <w:szCs w:val="24"/>
        </w:rPr>
      </w:pPr>
      <w:r w:rsidRPr="0085000E">
        <w:rPr>
          <w:b/>
          <w:bCs/>
          <w:sz w:val="24"/>
          <w:szCs w:val="24"/>
        </w:rPr>
        <w:t>Řízení projektu</w:t>
      </w:r>
    </w:p>
    <w:p w14:paraId="529712AA" w14:textId="3CC746C6" w:rsidR="00872C7E" w:rsidRDefault="00E6185F" w:rsidP="0085000E">
      <w:pPr>
        <w:jc w:val="both"/>
        <w:rPr>
          <w:bCs/>
        </w:rPr>
      </w:pPr>
      <w:r w:rsidRPr="00595E95">
        <w:rPr>
          <w:bCs/>
        </w:rPr>
        <w:t xml:space="preserve">• </w:t>
      </w:r>
      <w:r w:rsidR="0085688C">
        <w:rPr>
          <w:bCs/>
        </w:rPr>
        <w:t xml:space="preserve">zadavatel požaduje </w:t>
      </w:r>
      <w:r w:rsidR="005D2CCD">
        <w:rPr>
          <w:bCs/>
        </w:rPr>
        <w:t>stanovení jednoho</w:t>
      </w:r>
      <w:r w:rsidRPr="00595E95">
        <w:rPr>
          <w:bCs/>
        </w:rPr>
        <w:t xml:space="preserve"> </w:t>
      </w:r>
      <w:r w:rsidR="005D2CCD">
        <w:rPr>
          <w:bCs/>
        </w:rPr>
        <w:t>pracovníka dodavatele</w:t>
      </w:r>
      <w:r w:rsidR="00A73872">
        <w:rPr>
          <w:bCs/>
        </w:rPr>
        <w:t xml:space="preserve">, který bude koordinovat veškeré prováděné činnosti a řešit </w:t>
      </w:r>
      <w:r w:rsidR="005D2CCD">
        <w:rPr>
          <w:bCs/>
        </w:rPr>
        <w:t xml:space="preserve">administrativně </w:t>
      </w:r>
      <w:r w:rsidR="00A73872">
        <w:rPr>
          <w:bCs/>
        </w:rPr>
        <w:t>se zadavatelem vše od přípravy realizace zakázky až po její předání</w:t>
      </w:r>
      <w:r w:rsidR="00FC4CE9">
        <w:rPr>
          <w:bCs/>
        </w:rPr>
        <w:t xml:space="preserve">. V rámci řízení projektu </w:t>
      </w:r>
      <w:r w:rsidR="00EF0C14">
        <w:rPr>
          <w:bCs/>
        </w:rPr>
        <w:t>zadavatel požaduje definovat harmonogram</w:t>
      </w:r>
      <w:r w:rsidR="00872C7E">
        <w:rPr>
          <w:bCs/>
        </w:rPr>
        <w:t xml:space="preserve"> plnění:</w:t>
      </w:r>
    </w:p>
    <w:p w14:paraId="4584DD63" w14:textId="6409A95C" w:rsidR="00E6185F" w:rsidRPr="006608EA" w:rsidRDefault="00872C7E" w:rsidP="00305C9A">
      <w:pPr>
        <w:pStyle w:val="Odstavecseseznamem"/>
        <w:numPr>
          <w:ilvl w:val="0"/>
          <w:numId w:val="13"/>
        </w:numPr>
        <w:jc w:val="both"/>
        <w:rPr>
          <w:bCs/>
        </w:rPr>
      </w:pPr>
      <w:r>
        <w:rPr>
          <w:bCs/>
        </w:rPr>
        <w:t>Dodávka HW vybavení do 2 měsíců od nabytí účinnosti smlouvy</w:t>
      </w:r>
      <w:r w:rsidR="000464E9">
        <w:rPr>
          <w:bCs/>
        </w:rPr>
        <w:t>.</w:t>
      </w:r>
    </w:p>
    <w:p w14:paraId="68AB43A9" w14:textId="4BE3CE00" w:rsidR="00872C7E" w:rsidRDefault="00872C7E" w:rsidP="0085000E">
      <w:pPr>
        <w:pStyle w:val="Odstavecseseznamem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Výzva zadavatele k převzetí pracoviště </w:t>
      </w:r>
      <w:r w:rsidR="000464E9">
        <w:rPr>
          <w:bCs/>
        </w:rPr>
        <w:t>v době od 1. května do 30. června 2020.</w:t>
      </w:r>
    </w:p>
    <w:p w14:paraId="4F74B604" w14:textId="426662EF" w:rsidR="00FC4CE9" w:rsidRDefault="00FC4CE9" w:rsidP="0085000E">
      <w:pPr>
        <w:pStyle w:val="Odstavecseseznamem"/>
        <w:numPr>
          <w:ilvl w:val="0"/>
          <w:numId w:val="13"/>
        </w:numPr>
        <w:jc w:val="both"/>
        <w:rPr>
          <w:bCs/>
        </w:rPr>
      </w:pPr>
      <w:r w:rsidRPr="00233FAB">
        <w:rPr>
          <w:bCs/>
        </w:rPr>
        <w:t>Převzetí pracoviště v místě plnění dodavatele</w:t>
      </w:r>
      <w:r w:rsidR="000464E9">
        <w:rPr>
          <w:bCs/>
        </w:rPr>
        <w:t>m</w:t>
      </w:r>
      <w:r w:rsidR="00E8762D" w:rsidRPr="00233FAB">
        <w:rPr>
          <w:bCs/>
        </w:rPr>
        <w:t xml:space="preserve"> </w:t>
      </w:r>
      <w:r w:rsidR="007531E3">
        <w:rPr>
          <w:bCs/>
        </w:rPr>
        <w:t xml:space="preserve">do </w:t>
      </w:r>
      <w:r w:rsidR="000C63D4">
        <w:rPr>
          <w:bCs/>
        </w:rPr>
        <w:t xml:space="preserve">6 týdnů </w:t>
      </w:r>
      <w:r w:rsidR="007531E3">
        <w:rPr>
          <w:bCs/>
        </w:rPr>
        <w:t>od výzvy zadavatele</w:t>
      </w:r>
      <w:r w:rsidR="000464E9">
        <w:rPr>
          <w:bCs/>
        </w:rPr>
        <w:t>.</w:t>
      </w:r>
      <w:r w:rsidR="007531E3">
        <w:rPr>
          <w:bCs/>
        </w:rPr>
        <w:t xml:space="preserve"> </w:t>
      </w:r>
    </w:p>
    <w:p w14:paraId="6D01FC1B" w14:textId="3A40A0BF" w:rsidR="00FC4CE9" w:rsidRPr="00233FAB" w:rsidRDefault="00FC4CE9" w:rsidP="0085000E">
      <w:pPr>
        <w:pStyle w:val="Odstavecseseznamem"/>
        <w:numPr>
          <w:ilvl w:val="0"/>
          <w:numId w:val="13"/>
        </w:numPr>
        <w:jc w:val="both"/>
        <w:rPr>
          <w:bCs/>
        </w:rPr>
      </w:pPr>
      <w:r w:rsidRPr="00233FAB">
        <w:rPr>
          <w:bCs/>
        </w:rPr>
        <w:t xml:space="preserve">Instalace, zprovoznění a konfigurace nově dodávané technologie </w:t>
      </w:r>
    </w:p>
    <w:p w14:paraId="0ADB73B7" w14:textId="1D309FA1" w:rsidR="004D0C86" w:rsidRDefault="00FC4CE9" w:rsidP="00305C9A">
      <w:pPr>
        <w:pStyle w:val="Odstavecseseznamem"/>
        <w:numPr>
          <w:ilvl w:val="0"/>
          <w:numId w:val="13"/>
        </w:numPr>
        <w:jc w:val="both"/>
        <w:rPr>
          <w:bCs/>
        </w:rPr>
      </w:pPr>
      <w:r w:rsidRPr="00A65B4A">
        <w:rPr>
          <w:bCs/>
        </w:rPr>
        <w:t xml:space="preserve">Zaškolení administrátorů, akceptační testy a předání díla </w:t>
      </w:r>
    </w:p>
    <w:p w14:paraId="22AE2049" w14:textId="77777777" w:rsidR="004D0C86" w:rsidRDefault="004D0C86" w:rsidP="00A65B4A">
      <w:pPr>
        <w:pStyle w:val="Odstavecseseznamem"/>
        <w:jc w:val="both"/>
        <w:rPr>
          <w:bCs/>
        </w:rPr>
      </w:pPr>
    </w:p>
    <w:p w14:paraId="3408DE31" w14:textId="29DBF450" w:rsidR="00E8762D" w:rsidRPr="00A65B4A" w:rsidRDefault="00741088" w:rsidP="00305C9A">
      <w:pPr>
        <w:ind w:left="360"/>
        <w:jc w:val="both"/>
        <w:rPr>
          <w:bCs/>
        </w:rPr>
      </w:pPr>
      <w:r>
        <w:rPr>
          <w:bCs/>
        </w:rPr>
        <w:t>Lhůta plnění od převzetí pracoviště do dokončení díla, s</w:t>
      </w:r>
      <w:r w:rsidR="00E8762D" w:rsidRPr="00A65B4A">
        <w:rPr>
          <w:bCs/>
        </w:rPr>
        <w:t>tanoven</w:t>
      </w:r>
      <w:r>
        <w:rPr>
          <w:bCs/>
        </w:rPr>
        <w:t>a</w:t>
      </w:r>
      <w:r w:rsidR="00E8762D" w:rsidRPr="00A65B4A">
        <w:rPr>
          <w:bCs/>
        </w:rPr>
        <w:t xml:space="preserve"> v</w:t>
      </w:r>
      <w:r>
        <w:rPr>
          <w:bCs/>
        </w:rPr>
        <w:t>e</w:t>
      </w:r>
      <w:r w:rsidR="00446CFE">
        <w:rPr>
          <w:bCs/>
        </w:rPr>
        <w:t xml:space="preserve"> </w:t>
      </w:r>
      <w:r w:rsidR="00E8762D" w:rsidRPr="00A65B4A">
        <w:rPr>
          <w:bCs/>
        </w:rPr>
        <w:t>dn</w:t>
      </w:r>
      <w:r w:rsidR="00446CFE">
        <w:rPr>
          <w:bCs/>
        </w:rPr>
        <w:t>ech bude předmětem hodnocení a bude dodavatelem uvedena do smlouvy</w:t>
      </w:r>
      <w:r w:rsidR="00E8762D" w:rsidRPr="00A65B4A">
        <w:rPr>
          <w:bCs/>
        </w:rPr>
        <w:t>.</w:t>
      </w:r>
      <w:r w:rsidR="0043300F">
        <w:rPr>
          <w:bCs/>
        </w:rPr>
        <w:t xml:space="preserve"> M</w:t>
      </w:r>
      <w:r w:rsidR="00446CFE" w:rsidRPr="00FC0C17">
        <w:t xml:space="preserve">inimální zadavatelem akceptovaná doba plnění bude </w:t>
      </w:r>
      <w:r w:rsidR="005C0373">
        <w:t>3</w:t>
      </w:r>
      <w:r w:rsidR="00446CFE" w:rsidRPr="00FC0C17">
        <w:t xml:space="preserve">0 kalendářních dnů, z důvodu náročnosti realizace. Zadavatel preferuje z provozních důvodů co nejkratší dobu realizace plnění. Doba kratší </w:t>
      </w:r>
      <w:r w:rsidR="005C0373">
        <w:t>3</w:t>
      </w:r>
      <w:r w:rsidR="00446CFE" w:rsidRPr="00FC0C17">
        <w:t>0 dnů nebude zadavatelem akceptována</w:t>
      </w:r>
      <w:r w:rsidR="005C0373">
        <w:t>.</w:t>
      </w:r>
    </w:p>
    <w:p w14:paraId="77356D2E" w14:textId="77777777" w:rsidR="00FC4CE9" w:rsidRPr="00FC4CE9" w:rsidRDefault="00FC4CE9" w:rsidP="0085000E">
      <w:pPr>
        <w:jc w:val="both"/>
        <w:rPr>
          <w:bCs/>
        </w:rPr>
      </w:pPr>
    </w:p>
    <w:p w14:paraId="152E0A0A" w14:textId="3F619816" w:rsidR="00E6185F" w:rsidRPr="0085000E" w:rsidRDefault="009F4160" w:rsidP="00E6185F">
      <w:pPr>
        <w:spacing w:after="0"/>
        <w:rPr>
          <w:b/>
          <w:bCs/>
          <w:sz w:val="24"/>
          <w:szCs w:val="24"/>
        </w:rPr>
      </w:pPr>
      <w:r w:rsidRPr="0085000E">
        <w:rPr>
          <w:b/>
          <w:bCs/>
          <w:sz w:val="24"/>
          <w:szCs w:val="24"/>
        </w:rPr>
        <w:lastRenderedPageBreak/>
        <w:t xml:space="preserve">Popis technického řešení </w:t>
      </w:r>
    </w:p>
    <w:p w14:paraId="2243EAC4" w14:textId="76386279" w:rsidR="00E6185F" w:rsidRDefault="00E6185F" w:rsidP="00E6185F">
      <w:pPr>
        <w:rPr>
          <w:bCs/>
        </w:rPr>
      </w:pPr>
      <w:r w:rsidRPr="005666AB">
        <w:rPr>
          <w:bCs/>
        </w:rPr>
        <w:t xml:space="preserve">• </w:t>
      </w:r>
      <w:r w:rsidR="00D44DE6">
        <w:rPr>
          <w:bCs/>
        </w:rPr>
        <w:t>zadavatel požaduje</w:t>
      </w:r>
      <w:r w:rsidR="00D44DE6" w:rsidRPr="005666AB">
        <w:rPr>
          <w:bCs/>
        </w:rPr>
        <w:t xml:space="preserve"> </w:t>
      </w:r>
      <w:r w:rsidR="009F4160" w:rsidRPr="005666AB">
        <w:rPr>
          <w:bCs/>
        </w:rPr>
        <w:t xml:space="preserve">popsat technický návrh řešení </w:t>
      </w:r>
      <w:r w:rsidRPr="005666AB">
        <w:rPr>
          <w:bCs/>
        </w:rPr>
        <w:t>vč</w:t>
      </w:r>
      <w:r w:rsidR="009F4160" w:rsidRPr="005666AB">
        <w:rPr>
          <w:bCs/>
        </w:rPr>
        <w:t xml:space="preserve">. </w:t>
      </w:r>
      <w:r w:rsidRPr="005666AB">
        <w:rPr>
          <w:bCs/>
        </w:rPr>
        <w:t>začlenění do sítě VŠB-TUO</w:t>
      </w:r>
    </w:p>
    <w:p w14:paraId="2F38CFBF" w14:textId="13E9241C" w:rsidR="00E6185F" w:rsidRDefault="00E6185F" w:rsidP="00E6185F">
      <w:pPr>
        <w:pStyle w:val="Odstavecseseznamem"/>
        <w:numPr>
          <w:ilvl w:val="0"/>
          <w:numId w:val="6"/>
        </w:numPr>
      </w:pPr>
      <w:r w:rsidRPr="002C3112">
        <w:rPr>
          <w:b/>
        </w:rPr>
        <w:t>Instalace a zapojení</w:t>
      </w:r>
      <w:r>
        <w:rPr>
          <w:b/>
        </w:rPr>
        <w:t xml:space="preserve"> dodávaného systému</w:t>
      </w:r>
      <w:r w:rsidR="007531E3">
        <w:rPr>
          <w:b/>
        </w:rPr>
        <w:t xml:space="preserve">, </w:t>
      </w:r>
      <w:r w:rsidRPr="00595E95">
        <w:t xml:space="preserve">instalace </w:t>
      </w:r>
      <w:r>
        <w:t>nových systémů</w:t>
      </w:r>
    </w:p>
    <w:p w14:paraId="3186B033" w14:textId="77777777" w:rsidR="00E6185F" w:rsidRDefault="00E6185F" w:rsidP="00E6185F">
      <w:pPr>
        <w:pStyle w:val="Odstavecseseznamem"/>
        <w:numPr>
          <w:ilvl w:val="0"/>
          <w:numId w:val="5"/>
        </w:numPr>
      </w:pPr>
      <w:r>
        <w:t>roznos a zapojení telefonů</w:t>
      </w:r>
    </w:p>
    <w:p w14:paraId="172257E4" w14:textId="77777777" w:rsidR="00E6185F" w:rsidRPr="00595E95" w:rsidRDefault="00E6185F" w:rsidP="00E6185F">
      <w:pPr>
        <w:pStyle w:val="Odstavecseseznamem"/>
        <w:numPr>
          <w:ilvl w:val="0"/>
          <w:numId w:val="5"/>
        </w:numPr>
        <w:spacing w:after="240"/>
      </w:pPr>
      <w:r w:rsidRPr="00595E95">
        <w:t>likvidace odpadů</w:t>
      </w:r>
    </w:p>
    <w:p w14:paraId="1B92849F" w14:textId="77777777" w:rsidR="00E6185F" w:rsidRPr="002C3112" w:rsidRDefault="00E6185F" w:rsidP="00E6185F">
      <w:pPr>
        <w:spacing w:after="0"/>
        <w:rPr>
          <w:b/>
        </w:rPr>
      </w:pPr>
      <w:r w:rsidRPr="002C3112">
        <w:rPr>
          <w:b/>
        </w:rPr>
        <w:t>Konfigurace systém</w:t>
      </w:r>
      <w:r>
        <w:rPr>
          <w:b/>
        </w:rPr>
        <w:t>u</w:t>
      </w:r>
      <w:r w:rsidR="00A73872">
        <w:rPr>
          <w:b/>
        </w:rPr>
        <w:t>,</w:t>
      </w:r>
      <w:r w:rsidRPr="002C3112">
        <w:rPr>
          <w:b/>
        </w:rPr>
        <w:t xml:space="preserve"> uživatelského nastavení</w:t>
      </w:r>
      <w:r>
        <w:rPr>
          <w:b/>
        </w:rPr>
        <w:t xml:space="preserve"> </w:t>
      </w:r>
      <w:r w:rsidR="00A73872">
        <w:rPr>
          <w:b/>
        </w:rPr>
        <w:t>a zaškolení</w:t>
      </w:r>
    </w:p>
    <w:p w14:paraId="5EF6837A" w14:textId="77777777" w:rsidR="00886540" w:rsidRDefault="00886540" w:rsidP="00886540">
      <w:pPr>
        <w:pStyle w:val="Texttabulky"/>
        <w:numPr>
          <w:ilvl w:val="0"/>
          <w:numId w:val="18"/>
        </w:numPr>
      </w:pPr>
      <w:r>
        <w:t xml:space="preserve">konfigurace dle požadavků zadavatele </w:t>
      </w:r>
    </w:p>
    <w:p w14:paraId="321ED69B" w14:textId="77777777" w:rsidR="00886540" w:rsidRDefault="00886540" w:rsidP="00886540">
      <w:pPr>
        <w:pStyle w:val="Texttabulky"/>
        <w:numPr>
          <w:ilvl w:val="0"/>
          <w:numId w:val="18"/>
        </w:numPr>
      </w:pPr>
      <w:r>
        <w:t>integrace do komunikační infrastruktury VŠB-TUO</w:t>
      </w:r>
    </w:p>
    <w:p w14:paraId="641BD8BD" w14:textId="29AA07A3" w:rsidR="00E6185F" w:rsidRDefault="00886540" w:rsidP="00886540">
      <w:pPr>
        <w:pStyle w:val="Texttabulky"/>
        <w:numPr>
          <w:ilvl w:val="0"/>
          <w:numId w:val="18"/>
        </w:numPr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>
        <w:t>zaškolení administrátorů na změny v konfiguraci nových systémů</w:t>
      </w:r>
      <w:r w:rsidR="00E6185F" w:rsidRPr="00595E95">
        <w:br/>
      </w:r>
    </w:p>
    <w:p w14:paraId="1B56C219" w14:textId="77777777" w:rsidR="00E6185F" w:rsidRPr="00126618" w:rsidRDefault="00E6185F" w:rsidP="00E6185F">
      <w:pPr>
        <w:spacing w:after="0"/>
        <w:rPr>
          <w:b/>
        </w:rPr>
      </w:pPr>
      <w:r w:rsidRPr="00126618">
        <w:rPr>
          <w:b/>
        </w:rPr>
        <w:t xml:space="preserve">Akceptační testy </w:t>
      </w:r>
      <w:r w:rsidR="00A73872">
        <w:rPr>
          <w:b/>
        </w:rPr>
        <w:t>při předání</w:t>
      </w:r>
    </w:p>
    <w:p w14:paraId="6A610116" w14:textId="65A09E7F" w:rsidR="00A73872" w:rsidRDefault="00886540" w:rsidP="00886540">
      <w:pPr>
        <w:pStyle w:val="Odstavecseseznamem"/>
        <w:numPr>
          <w:ilvl w:val="0"/>
          <w:numId w:val="19"/>
        </w:numPr>
      </w:pPr>
      <w:r>
        <w:t>při předání bude proveden test funkcionalit služeb v rámci sítě dle následující tabulky</w:t>
      </w:r>
      <w:r w:rsidR="00233FAB">
        <w:t>;</w:t>
      </w:r>
      <w:r>
        <w:t xml:space="preserve"> nesplnění akceptačního testu je důvodem nepřevzetí dodávky.</w:t>
      </w:r>
    </w:p>
    <w:p w14:paraId="26739830" w14:textId="77777777" w:rsidR="00886540" w:rsidRPr="00403D44" w:rsidRDefault="00886540" w:rsidP="0088654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682"/>
      </w:tblGrid>
      <w:tr w:rsidR="00886540" w:rsidRPr="00886540" w14:paraId="52297B8C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23232" w14:textId="77777777" w:rsidR="00886540" w:rsidRPr="00886540" w:rsidRDefault="00886540" w:rsidP="006D123F">
            <w:pPr>
              <w:spacing w:after="0"/>
              <w:rPr>
                <w:b/>
              </w:rPr>
            </w:pPr>
            <w:r w:rsidRPr="00886540">
              <w:rPr>
                <w:b/>
              </w:rPr>
              <w:t>Funkce (EN)</w:t>
            </w:r>
          </w:p>
        </w:tc>
        <w:tc>
          <w:tcPr>
            <w:tcW w:w="468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C69F3" w14:textId="77777777" w:rsidR="00886540" w:rsidRPr="00886540" w:rsidRDefault="00886540" w:rsidP="006D123F">
            <w:pPr>
              <w:spacing w:after="0"/>
              <w:rPr>
                <w:b/>
              </w:rPr>
            </w:pPr>
            <w:r w:rsidRPr="00886540">
              <w:rPr>
                <w:b/>
              </w:rPr>
              <w:t>Funkce (CZ)</w:t>
            </w:r>
          </w:p>
        </w:tc>
      </w:tr>
      <w:tr w:rsidR="00886540" w:rsidRPr="00886540" w14:paraId="022ACB12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595C2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Basic call </w:t>
            </w:r>
          </w:p>
        </w:tc>
        <w:tc>
          <w:tcPr>
            <w:tcW w:w="468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EFC88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Základní volání</w:t>
            </w:r>
          </w:p>
        </w:tc>
      </w:tr>
      <w:tr w:rsidR="00886540" w:rsidRPr="00886540" w14:paraId="21CD692D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D26F7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Callback on busy </w:t>
            </w:r>
          </w:p>
        </w:tc>
        <w:tc>
          <w:tcPr>
            <w:tcW w:w="468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C98C3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Zpětné volání při obsazeno</w:t>
            </w:r>
          </w:p>
        </w:tc>
      </w:tr>
      <w:tr w:rsidR="00886540" w:rsidRPr="00886540" w14:paraId="31D1F74F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8B265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Override </w:t>
            </w:r>
          </w:p>
        </w:tc>
        <w:tc>
          <w:tcPr>
            <w:tcW w:w="468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0BEBB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Vynucené napojení do hovoru</w:t>
            </w:r>
          </w:p>
        </w:tc>
      </w:tr>
      <w:tr w:rsidR="00886540" w:rsidRPr="00886540" w14:paraId="78BCB7E9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95056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Calling Line Identification Presentation (CLIP) </w:t>
            </w:r>
          </w:p>
        </w:tc>
        <w:tc>
          <w:tcPr>
            <w:tcW w:w="4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BEDC1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Zobrazení identifikace volající linky</w:t>
            </w:r>
          </w:p>
        </w:tc>
      </w:tr>
      <w:tr w:rsidR="00886540" w:rsidRPr="00886540" w14:paraId="3CDBDCAC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86BB0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Connected Line ID Presentation (COLP) </w:t>
            </w:r>
          </w:p>
        </w:tc>
        <w:tc>
          <w:tcPr>
            <w:tcW w:w="4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83D7E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Zobrazení identifikace volané linky</w:t>
            </w:r>
          </w:p>
        </w:tc>
      </w:tr>
      <w:tr w:rsidR="00886540" w:rsidRPr="00886540" w14:paraId="3CE1252D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D7A6A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Calling / Connected Name Identification Presentation (CNIP) </w:t>
            </w:r>
          </w:p>
        </w:tc>
        <w:tc>
          <w:tcPr>
            <w:tcW w:w="4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3E1CBB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Přenos a zobrazení jména volajícího</w:t>
            </w:r>
          </w:p>
        </w:tc>
      </w:tr>
      <w:tr w:rsidR="00886540" w:rsidRPr="00886540" w14:paraId="0E922EFD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BF0E9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Do Not Disturb </w:t>
            </w:r>
          </w:p>
        </w:tc>
        <w:tc>
          <w:tcPr>
            <w:tcW w:w="4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5F202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Nerušit</w:t>
            </w:r>
          </w:p>
        </w:tc>
      </w:tr>
      <w:tr w:rsidR="00886540" w:rsidRPr="00886540" w14:paraId="58C972A5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167EB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Call forwarding </w:t>
            </w:r>
          </w:p>
        </w:tc>
        <w:tc>
          <w:tcPr>
            <w:tcW w:w="4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9C6B34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Přesměrování volání</w:t>
            </w:r>
          </w:p>
        </w:tc>
      </w:tr>
      <w:tr w:rsidR="00886540" w:rsidRPr="00886540" w14:paraId="68307805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400C18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Call Forwarding on Busy </w:t>
            </w:r>
          </w:p>
        </w:tc>
        <w:tc>
          <w:tcPr>
            <w:tcW w:w="4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BAA1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Přesměrování volání při obsazeno</w:t>
            </w:r>
          </w:p>
        </w:tc>
      </w:tr>
      <w:tr w:rsidR="00886540" w:rsidRPr="00886540" w14:paraId="6834B24A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473D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Call Forwarding on RNA </w:t>
            </w:r>
          </w:p>
        </w:tc>
        <w:tc>
          <w:tcPr>
            <w:tcW w:w="4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EA676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Přesměrování volání při neodpovídá</w:t>
            </w:r>
          </w:p>
        </w:tc>
      </w:tr>
      <w:tr w:rsidR="00886540" w:rsidRPr="00886540" w14:paraId="57419297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A8AE47" w14:textId="77777777" w:rsidR="00886540" w:rsidRPr="00886540" w:rsidRDefault="00886540" w:rsidP="00886540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Message Waiting Indication </w:t>
            </w:r>
          </w:p>
        </w:tc>
        <w:tc>
          <w:tcPr>
            <w:tcW w:w="4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2BB21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Informace o čekajícím volání</w:t>
            </w:r>
          </w:p>
        </w:tc>
      </w:tr>
      <w:tr w:rsidR="00886540" w:rsidRPr="00886540" w14:paraId="661344DA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18E24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Transfer </w:t>
            </w:r>
          </w:p>
        </w:tc>
        <w:tc>
          <w:tcPr>
            <w:tcW w:w="4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6A20B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Přepojení hovoru</w:t>
            </w:r>
          </w:p>
        </w:tc>
      </w:tr>
      <w:tr w:rsidR="00886540" w:rsidRPr="00886540" w14:paraId="6AA77401" w14:textId="77777777" w:rsidTr="006D123F">
        <w:trPr>
          <w:trHeight w:val="300"/>
        </w:trPr>
        <w:tc>
          <w:tcPr>
            <w:tcW w:w="43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455CA1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 xml:space="preserve">Conferencing </w:t>
            </w:r>
          </w:p>
        </w:tc>
        <w:tc>
          <w:tcPr>
            <w:tcW w:w="46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F4283" w14:textId="77777777" w:rsidR="00886540" w:rsidRPr="00886540" w:rsidRDefault="00886540" w:rsidP="006D123F">
            <w:pPr>
              <w:spacing w:after="0"/>
              <w:rPr>
                <w:color w:val="000000"/>
                <w:lang w:eastAsia="cs-CZ"/>
              </w:rPr>
            </w:pPr>
            <w:r w:rsidRPr="00886540">
              <w:t>Konference</w:t>
            </w:r>
          </w:p>
        </w:tc>
      </w:tr>
      <w:tr w:rsidR="00886540" w14:paraId="723082E5" w14:textId="77777777" w:rsidTr="006D123F">
        <w:trPr>
          <w:trHeight w:val="300"/>
        </w:trPr>
        <w:tc>
          <w:tcPr>
            <w:tcW w:w="43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A3117" w14:textId="77777777" w:rsidR="00886540" w:rsidRPr="00886540" w:rsidRDefault="00886540" w:rsidP="006D123F">
            <w:pPr>
              <w:spacing w:after="0"/>
            </w:pPr>
            <w:r w:rsidRPr="00886540">
              <w:t>Network Call Pickup</w:t>
            </w:r>
          </w:p>
        </w:tc>
        <w:tc>
          <w:tcPr>
            <w:tcW w:w="46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A1A51" w14:textId="77777777" w:rsidR="00886540" w:rsidRPr="006E556F" w:rsidRDefault="00886540" w:rsidP="00886540">
            <w:pPr>
              <w:spacing w:after="0"/>
            </w:pPr>
            <w:r w:rsidRPr="00886540">
              <w:t xml:space="preserve">Převzetí </w:t>
            </w:r>
            <w:r>
              <w:t xml:space="preserve">volání mezi pobočkami </w:t>
            </w:r>
            <w:r w:rsidRPr="00886540">
              <w:t>v</w:t>
            </w:r>
            <w:r w:rsidR="00626845">
              <w:t> </w:t>
            </w:r>
            <w:r>
              <w:t>síti</w:t>
            </w:r>
          </w:p>
        </w:tc>
      </w:tr>
    </w:tbl>
    <w:p w14:paraId="4A1A737E" w14:textId="77777777" w:rsidR="00626845" w:rsidRDefault="00626845" w:rsidP="00626845">
      <w:pPr>
        <w:pStyle w:val="Odstavecseseznamem"/>
        <w:rPr>
          <w:b/>
          <w:sz w:val="28"/>
          <w:szCs w:val="28"/>
        </w:rPr>
      </w:pPr>
    </w:p>
    <w:p w14:paraId="0150C797" w14:textId="61854977" w:rsidR="009F4160" w:rsidRPr="0085000E" w:rsidRDefault="009F4160" w:rsidP="009F4160">
      <w:pPr>
        <w:rPr>
          <w:b/>
          <w:bCs/>
          <w:sz w:val="24"/>
          <w:szCs w:val="24"/>
        </w:rPr>
      </w:pPr>
      <w:r w:rsidRPr="0085000E">
        <w:rPr>
          <w:b/>
          <w:bCs/>
          <w:sz w:val="24"/>
          <w:szCs w:val="24"/>
        </w:rPr>
        <w:t>Dokumentace skutečného provedení</w:t>
      </w:r>
    </w:p>
    <w:p w14:paraId="1305A1BB" w14:textId="1B3F19CB" w:rsidR="009F4160" w:rsidRPr="002C3112" w:rsidRDefault="009F4160" w:rsidP="0085000E">
      <w:pPr>
        <w:jc w:val="both"/>
        <w:rPr>
          <w:bCs/>
        </w:rPr>
      </w:pPr>
      <w:r w:rsidRPr="00595E95">
        <w:rPr>
          <w:bCs/>
        </w:rPr>
        <w:t xml:space="preserve">• </w:t>
      </w:r>
      <w:r>
        <w:rPr>
          <w:bCs/>
        </w:rPr>
        <w:t>po ukončení instalace před</w:t>
      </w:r>
      <w:r w:rsidR="00233FAB">
        <w:rPr>
          <w:bCs/>
        </w:rPr>
        <w:t>á</w:t>
      </w:r>
      <w:r>
        <w:rPr>
          <w:bCs/>
        </w:rPr>
        <w:t xml:space="preserve"> </w:t>
      </w:r>
      <w:r w:rsidR="00233FAB">
        <w:rPr>
          <w:bCs/>
        </w:rPr>
        <w:t xml:space="preserve">dodavatel </w:t>
      </w:r>
      <w:r>
        <w:rPr>
          <w:bCs/>
        </w:rPr>
        <w:t>zadavateli t</w:t>
      </w:r>
      <w:r w:rsidRPr="009F4160">
        <w:rPr>
          <w:bCs/>
        </w:rPr>
        <w:t>echnick</w:t>
      </w:r>
      <w:r>
        <w:rPr>
          <w:bCs/>
        </w:rPr>
        <w:t>ou</w:t>
      </w:r>
      <w:r w:rsidRPr="009F4160">
        <w:rPr>
          <w:bCs/>
        </w:rPr>
        <w:t xml:space="preserve"> zpráv</w:t>
      </w:r>
      <w:r>
        <w:rPr>
          <w:bCs/>
        </w:rPr>
        <w:t>u zahrnující popis skutečného provedení díla</w:t>
      </w:r>
      <w:r w:rsidR="00233FAB">
        <w:rPr>
          <w:bCs/>
        </w:rPr>
        <w:t xml:space="preserve"> včetně</w:t>
      </w:r>
      <w:r>
        <w:rPr>
          <w:bCs/>
        </w:rPr>
        <w:t xml:space="preserve"> </w:t>
      </w:r>
      <w:r w:rsidRPr="009F4160">
        <w:rPr>
          <w:bCs/>
        </w:rPr>
        <w:t>schémat zapojení kabelových rozvodů</w:t>
      </w:r>
      <w:r>
        <w:rPr>
          <w:bCs/>
        </w:rPr>
        <w:t xml:space="preserve"> a </w:t>
      </w:r>
      <w:r w:rsidR="00233FAB">
        <w:rPr>
          <w:bCs/>
        </w:rPr>
        <w:t xml:space="preserve">současně včetně </w:t>
      </w:r>
      <w:r>
        <w:rPr>
          <w:bCs/>
        </w:rPr>
        <w:t>přehledové</w:t>
      </w:r>
      <w:r w:rsidR="00233FAB">
        <w:rPr>
          <w:bCs/>
        </w:rPr>
        <w:t>ho</w:t>
      </w:r>
      <w:r>
        <w:rPr>
          <w:bCs/>
        </w:rPr>
        <w:t xml:space="preserve"> schéma </w:t>
      </w:r>
      <w:r w:rsidRPr="009F4160">
        <w:rPr>
          <w:bCs/>
        </w:rPr>
        <w:t>celkov</w:t>
      </w:r>
      <w:r>
        <w:rPr>
          <w:bCs/>
        </w:rPr>
        <w:t>é</w:t>
      </w:r>
      <w:r w:rsidRPr="009F4160">
        <w:rPr>
          <w:bCs/>
        </w:rPr>
        <w:t xml:space="preserve"> situace</w:t>
      </w:r>
      <w:r>
        <w:rPr>
          <w:bCs/>
        </w:rPr>
        <w:t xml:space="preserve"> v místnosti ústředny bloku</w:t>
      </w:r>
      <w:r w:rsidR="00233FAB">
        <w:rPr>
          <w:bCs/>
        </w:rPr>
        <w:t xml:space="preserve"> Koleje</w:t>
      </w:r>
      <w:r>
        <w:rPr>
          <w:bCs/>
        </w:rPr>
        <w:t xml:space="preserve"> A</w:t>
      </w:r>
      <w:r w:rsidR="00233FAB">
        <w:rPr>
          <w:bCs/>
        </w:rPr>
        <w:t>,</w:t>
      </w:r>
      <w:r>
        <w:rPr>
          <w:bCs/>
        </w:rPr>
        <w:t xml:space="preserve"> zahrnující umístění a organizaci racků.</w:t>
      </w:r>
    </w:p>
    <w:p w14:paraId="2444C278" w14:textId="0AC5AFF4" w:rsidR="009F4160" w:rsidRDefault="009F4160" w:rsidP="009F4160">
      <w:pPr>
        <w:rPr>
          <w:b/>
          <w:sz w:val="28"/>
          <w:szCs w:val="28"/>
        </w:rPr>
      </w:pPr>
    </w:p>
    <w:p w14:paraId="5CFBE234" w14:textId="346D9044" w:rsidR="00233FAB" w:rsidRDefault="00233FAB" w:rsidP="009F4160">
      <w:pPr>
        <w:rPr>
          <w:b/>
          <w:sz w:val="28"/>
          <w:szCs w:val="28"/>
        </w:rPr>
      </w:pPr>
    </w:p>
    <w:p w14:paraId="6A445E70" w14:textId="77777777" w:rsidR="00233FAB" w:rsidRPr="009F4160" w:rsidRDefault="00233FAB" w:rsidP="009F4160">
      <w:pPr>
        <w:rPr>
          <w:b/>
          <w:sz w:val="28"/>
          <w:szCs w:val="28"/>
        </w:rPr>
      </w:pPr>
    </w:p>
    <w:p w14:paraId="22CF2030" w14:textId="5ECD350B" w:rsidR="00E6185F" w:rsidRPr="00F32617" w:rsidRDefault="00E6185F" w:rsidP="00A05311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 w:rsidRPr="00F32617">
        <w:rPr>
          <w:b/>
          <w:sz w:val="28"/>
          <w:szCs w:val="28"/>
        </w:rPr>
        <w:lastRenderedPageBreak/>
        <w:t xml:space="preserve">Požadavky - rekonstrukce vnitřních rozvodů v technických místnostech VŠB, lokalita </w:t>
      </w:r>
      <w:r w:rsidR="007D219B">
        <w:rPr>
          <w:b/>
          <w:sz w:val="28"/>
          <w:szCs w:val="28"/>
        </w:rPr>
        <w:t>USSS</w:t>
      </w:r>
      <w:r w:rsidRPr="00F32617">
        <w:rPr>
          <w:b/>
          <w:sz w:val="28"/>
          <w:szCs w:val="28"/>
        </w:rPr>
        <w:t xml:space="preserve"> – součást dodávky</w:t>
      </w:r>
    </w:p>
    <w:p w14:paraId="7F12A222" w14:textId="77777777" w:rsidR="00E6185F" w:rsidRPr="00F32617" w:rsidRDefault="00E6185F" w:rsidP="00E6185F">
      <w:pPr>
        <w:pStyle w:val="Odstavecseseznamem"/>
        <w:rPr>
          <w:b/>
          <w:sz w:val="28"/>
          <w:szCs w:val="28"/>
        </w:rPr>
      </w:pPr>
    </w:p>
    <w:p w14:paraId="08E2E43F" w14:textId="0E1EF155" w:rsidR="00E6185F" w:rsidRPr="00F32617" w:rsidRDefault="00E6185F" w:rsidP="00E6185F">
      <w:pPr>
        <w:rPr>
          <w:b/>
        </w:rPr>
      </w:pPr>
      <w:r w:rsidRPr="00F32617">
        <w:rPr>
          <w:b/>
        </w:rPr>
        <w:t>Budovy</w:t>
      </w:r>
      <w:r w:rsidR="00233FAB">
        <w:rPr>
          <w:b/>
        </w:rPr>
        <w:t xml:space="preserve"> Koleje</w:t>
      </w:r>
      <w:r w:rsidRPr="00F32617">
        <w:rPr>
          <w:b/>
        </w:rPr>
        <w:t xml:space="preserve"> A,</w:t>
      </w:r>
      <w:r w:rsidR="0085000E">
        <w:rPr>
          <w:b/>
        </w:rPr>
        <w:t xml:space="preserve"> </w:t>
      </w:r>
      <w:r w:rsidRPr="00F32617">
        <w:rPr>
          <w:b/>
        </w:rPr>
        <w:t>B – technická místnost</w:t>
      </w:r>
    </w:p>
    <w:p w14:paraId="035AFBF7" w14:textId="104FA253" w:rsidR="00E6185F" w:rsidRPr="00F32617" w:rsidRDefault="000C63D4" w:rsidP="00E6185F">
      <w:pPr>
        <w:numPr>
          <w:ilvl w:val="0"/>
          <w:numId w:val="14"/>
        </w:numPr>
        <w:contextualSpacing/>
      </w:pPr>
      <w:r>
        <w:t>Zapojení</w:t>
      </w:r>
      <w:r w:rsidR="00E6185F" w:rsidRPr="00F32617">
        <w:t xml:space="preserve"> </w:t>
      </w:r>
      <w:r>
        <w:t xml:space="preserve">zemních </w:t>
      </w:r>
      <w:r w:rsidR="00E6185F" w:rsidRPr="00F32617">
        <w:t xml:space="preserve">kabelů </w:t>
      </w:r>
      <w:r>
        <w:t xml:space="preserve">(z kabelových závěrů) </w:t>
      </w:r>
      <w:r w:rsidR="00E6185F" w:rsidRPr="00F32617">
        <w:t>a zakončení v racku na připravené patch panely</w:t>
      </w:r>
      <w:r>
        <w:t>.</w:t>
      </w:r>
    </w:p>
    <w:p w14:paraId="5480D340" w14:textId="05B7064A" w:rsidR="00E6185F" w:rsidRPr="007724FC" w:rsidRDefault="000C63D4" w:rsidP="006A73C5">
      <w:pPr>
        <w:numPr>
          <w:ilvl w:val="0"/>
          <w:numId w:val="14"/>
        </w:numPr>
        <w:contextualSpacing/>
        <w:jc w:val="both"/>
      </w:pPr>
      <w:r>
        <w:t>Zapojení stávajících SYKFY kabelů se</w:t>
      </w:r>
      <w:r w:rsidR="00E6185F" w:rsidRPr="00F32617">
        <w:t xml:space="preserve"> zakončení v racku na připravené patch panely. Otočení a přivedení do racku vedené vrchem (instalace kabelových žlabů) nebo spodem </w:t>
      </w:r>
      <w:r w:rsidR="00E6185F" w:rsidRPr="007724FC">
        <w:t>průrazem stropu a vedením před spodní místnost.</w:t>
      </w:r>
    </w:p>
    <w:p w14:paraId="465ABA9D" w14:textId="3B95A6DB" w:rsidR="00E6185F" w:rsidRPr="007724FC" w:rsidRDefault="00E6185F" w:rsidP="006A73C5">
      <w:pPr>
        <w:numPr>
          <w:ilvl w:val="0"/>
          <w:numId w:val="14"/>
        </w:numPr>
        <w:contextualSpacing/>
        <w:jc w:val="both"/>
      </w:pPr>
      <w:r w:rsidRPr="007724FC">
        <w:t>Dodávka racku</w:t>
      </w:r>
      <w:r w:rsidR="0028629D" w:rsidRPr="007724FC">
        <w:t xml:space="preserve"> 1x</w:t>
      </w:r>
      <w:r w:rsidRPr="007724FC">
        <w:t xml:space="preserve"> 42U, 800x600, vybaveného 50-portovými patch panely a vyvazovacími panely v kapacitě pro zakončení spojovacích vedení do dalších objektů a zakončení rozvodů budovy AB</w:t>
      </w:r>
      <w:r w:rsidR="000C66F8" w:rsidRPr="007724FC">
        <w:t xml:space="preserve"> a propojení na C/D/E bloky,</w:t>
      </w:r>
    </w:p>
    <w:p w14:paraId="21B5E0BE" w14:textId="0F28430B" w:rsidR="00E6185F" w:rsidRPr="007724FC" w:rsidRDefault="000C66F8" w:rsidP="006A73C5">
      <w:pPr>
        <w:numPr>
          <w:ilvl w:val="0"/>
          <w:numId w:val="14"/>
        </w:numPr>
        <w:contextualSpacing/>
        <w:jc w:val="both"/>
      </w:pPr>
      <w:r w:rsidRPr="007724FC">
        <w:t xml:space="preserve">Dodávka racku 1x </w:t>
      </w:r>
      <w:r w:rsidR="00E6185F" w:rsidRPr="007724FC">
        <w:t xml:space="preserve">42U, 800x600 pro </w:t>
      </w:r>
      <w:r w:rsidRPr="007724FC">
        <w:t xml:space="preserve">technologii </w:t>
      </w:r>
      <w:r w:rsidR="00E6185F" w:rsidRPr="007724FC">
        <w:t>(</w:t>
      </w:r>
      <w:r w:rsidRPr="007724FC">
        <w:t>komunikační systém, UPS + ukončení optické trasy na dodavané převodníky optickometalické</w:t>
      </w:r>
      <w:r w:rsidR="00E6185F" w:rsidRPr="007724FC">
        <w:t>)</w:t>
      </w:r>
    </w:p>
    <w:p w14:paraId="583AE955" w14:textId="6B17DAE2" w:rsidR="000C66F8" w:rsidRPr="007724FC" w:rsidRDefault="000C66F8" w:rsidP="006A73C5">
      <w:pPr>
        <w:numPr>
          <w:ilvl w:val="0"/>
          <w:numId w:val="14"/>
        </w:numPr>
        <w:contextualSpacing/>
        <w:jc w:val="both"/>
      </w:pPr>
      <w:r w:rsidRPr="007724FC">
        <w:t xml:space="preserve">Dodávka racku 1x 42U, 800x600 pro stranu ústřednu (příchod od ústředny), zakončení příchodů od ústředny požadujeme na patch panelech), všechny tři racky budou mezi sebou propojeny </w:t>
      </w:r>
      <w:r w:rsidR="00395E0C" w:rsidRPr="007724FC">
        <w:t>stropním kabelovým</w:t>
      </w:r>
      <w:r w:rsidRPr="007724FC">
        <w:t xml:space="preserve"> žlabem)</w:t>
      </w:r>
    </w:p>
    <w:p w14:paraId="597BAC58" w14:textId="7AA2F26B" w:rsidR="00E6185F" w:rsidRPr="007724FC" w:rsidRDefault="00E6185F" w:rsidP="006A73C5">
      <w:pPr>
        <w:numPr>
          <w:ilvl w:val="0"/>
          <w:numId w:val="14"/>
        </w:numPr>
        <w:contextualSpacing/>
        <w:jc w:val="both"/>
      </w:pPr>
      <w:r w:rsidRPr="007724FC">
        <w:t xml:space="preserve">Instalace modulů </w:t>
      </w:r>
      <w:r w:rsidR="00886540" w:rsidRPr="007724FC">
        <w:t xml:space="preserve">nového </w:t>
      </w:r>
      <w:r w:rsidRPr="007724FC">
        <w:t xml:space="preserve">komunikačního systému </w:t>
      </w:r>
    </w:p>
    <w:p w14:paraId="788F8535" w14:textId="77777777" w:rsidR="00E6185F" w:rsidRPr="00F32617" w:rsidRDefault="00E6185F" w:rsidP="006A73C5">
      <w:pPr>
        <w:numPr>
          <w:ilvl w:val="0"/>
          <w:numId w:val="14"/>
        </w:numPr>
        <w:contextualSpacing/>
        <w:jc w:val="both"/>
      </w:pPr>
      <w:r w:rsidRPr="007724FC">
        <w:t>Zakončení systémové kabeláže s pat</w:t>
      </w:r>
      <w:r w:rsidRPr="00F32617">
        <w:t>ch panely</w:t>
      </w:r>
    </w:p>
    <w:p w14:paraId="34F628E8" w14:textId="772EE5B0" w:rsidR="00E6185F" w:rsidRPr="00F32617" w:rsidRDefault="00E6185F" w:rsidP="006A73C5">
      <w:pPr>
        <w:numPr>
          <w:ilvl w:val="0"/>
          <w:numId w:val="14"/>
        </w:numPr>
        <w:contextualSpacing/>
        <w:jc w:val="both"/>
      </w:pPr>
      <w:r w:rsidRPr="00F32617">
        <w:t>„Ranžírování“ patch cordy mezi vnitřní stranou systému PBX a externím</w:t>
      </w:r>
      <w:r w:rsidR="00541753">
        <w:t>i</w:t>
      </w:r>
      <w:r w:rsidRPr="00F32617">
        <w:t xml:space="preserve"> patch panely. Dodávka patch cordů na míru.</w:t>
      </w:r>
    </w:p>
    <w:p w14:paraId="628C206D" w14:textId="77777777" w:rsidR="00E6185F" w:rsidRPr="00F32617" w:rsidRDefault="00E6185F" w:rsidP="006A73C5">
      <w:pPr>
        <w:numPr>
          <w:ilvl w:val="0"/>
          <w:numId w:val="14"/>
        </w:numPr>
        <w:contextualSpacing/>
        <w:jc w:val="both"/>
      </w:pPr>
      <w:r w:rsidRPr="00F32617">
        <w:t>Instalace UPS do racku, napojení na napájecí rozvody</w:t>
      </w:r>
    </w:p>
    <w:p w14:paraId="34C4CEC3" w14:textId="77777777" w:rsidR="00E6185F" w:rsidRPr="00F32617" w:rsidRDefault="00E6185F" w:rsidP="006A73C5">
      <w:pPr>
        <w:jc w:val="both"/>
        <w:rPr>
          <w:b/>
        </w:rPr>
      </w:pPr>
    </w:p>
    <w:p w14:paraId="7D3CEE85" w14:textId="777DBAEB" w:rsidR="00E6185F" w:rsidRPr="00F32617" w:rsidRDefault="00E6185F" w:rsidP="00E6185F">
      <w:pPr>
        <w:rPr>
          <w:b/>
        </w:rPr>
      </w:pPr>
      <w:r w:rsidRPr="00F32617">
        <w:rPr>
          <w:b/>
        </w:rPr>
        <w:t xml:space="preserve">Budova </w:t>
      </w:r>
      <w:r w:rsidR="00233FAB">
        <w:rPr>
          <w:b/>
        </w:rPr>
        <w:t xml:space="preserve">Koleje </w:t>
      </w:r>
      <w:r w:rsidRPr="00F32617">
        <w:rPr>
          <w:b/>
        </w:rPr>
        <w:t>C – technická místnost</w:t>
      </w:r>
    </w:p>
    <w:p w14:paraId="259762CC" w14:textId="567E23F4" w:rsidR="00E6185F" w:rsidRPr="00F32617" w:rsidRDefault="000C66F8" w:rsidP="006A73C5">
      <w:pPr>
        <w:numPr>
          <w:ilvl w:val="0"/>
          <w:numId w:val="14"/>
        </w:numPr>
        <w:contextualSpacing/>
        <w:jc w:val="both"/>
      </w:pPr>
      <w:r>
        <w:t xml:space="preserve">Navázání </w:t>
      </w:r>
      <w:r w:rsidR="00E6185F" w:rsidRPr="00F32617">
        <w:t xml:space="preserve">kabelových závěrů s vedením od budovy A/B </w:t>
      </w:r>
      <w:r>
        <w:t>do racku s patch panelem</w:t>
      </w:r>
    </w:p>
    <w:p w14:paraId="226DE589" w14:textId="518DF5B0" w:rsidR="00E6185F" w:rsidRPr="007724FC" w:rsidRDefault="00E6185F" w:rsidP="006A73C5">
      <w:pPr>
        <w:numPr>
          <w:ilvl w:val="0"/>
          <w:numId w:val="14"/>
        </w:numPr>
        <w:contextualSpacing/>
        <w:jc w:val="both"/>
      </w:pPr>
      <w:r w:rsidRPr="00F32617">
        <w:t xml:space="preserve">Demontáž a </w:t>
      </w:r>
      <w:r w:rsidRPr="007724FC">
        <w:t>likvidace všech nevyužitých nástěnných rozvodů</w:t>
      </w:r>
    </w:p>
    <w:p w14:paraId="6D0B88CA" w14:textId="6FE58B8B" w:rsidR="00E6185F" w:rsidRPr="007724FC" w:rsidRDefault="00E6185F" w:rsidP="006A73C5">
      <w:pPr>
        <w:numPr>
          <w:ilvl w:val="0"/>
          <w:numId w:val="14"/>
        </w:numPr>
        <w:contextualSpacing/>
        <w:jc w:val="both"/>
      </w:pPr>
      <w:r w:rsidRPr="007724FC">
        <w:t>Demontáž stávajícího komunikačního systému Hicom, odvoz a ekologická likvidace</w:t>
      </w:r>
    </w:p>
    <w:p w14:paraId="6E8BAD48" w14:textId="02589C13" w:rsidR="00E6185F" w:rsidRPr="007724FC" w:rsidRDefault="00E6185F" w:rsidP="006A73C5">
      <w:pPr>
        <w:numPr>
          <w:ilvl w:val="0"/>
          <w:numId w:val="14"/>
        </w:numPr>
        <w:contextualSpacing/>
        <w:jc w:val="both"/>
      </w:pPr>
      <w:r w:rsidRPr="007724FC">
        <w:t>Úklid a vyčištění místnosti</w:t>
      </w:r>
    </w:p>
    <w:p w14:paraId="7F83A5C1" w14:textId="461F8393" w:rsidR="00E6185F" w:rsidRPr="00F32617" w:rsidRDefault="00E6185F" w:rsidP="006A73C5">
      <w:pPr>
        <w:numPr>
          <w:ilvl w:val="0"/>
          <w:numId w:val="14"/>
        </w:numPr>
        <w:contextualSpacing/>
        <w:jc w:val="both"/>
      </w:pPr>
      <w:r w:rsidRPr="007724FC">
        <w:t>Dodávka racku</w:t>
      </w:r>
      <w:r w:rsidR="000C66F8" w:rsidRPr="007724FC">
        <w:t xml:space="preserve"> 1x 42U, 800x600</w:t>
      </w:r>
      <w:r w:rsidRPr="007724FC">
        <w:t>, vybaveného 50-portovými patch panely a vyvazovacími panely v kapacitě pro zakončení spojovacích vedení do dalších objektů a zakončení rozvodů budovy C, včetně spojovacího vedení do nové technické</w:t>
      </w:r>
      <w:r w:rsidRPr="00F32617">
        <w:t xml:space="preserve"> místnosti budovy C</w:t>
      </w:r>
    </w:p>
    <w:p w14:paraId="787ACE07" w14:textId="77777777" w:rsidR="00E6185F" w:rsidRDefault="00E6185F" w:rsidP="006A73C5">
      <w:pPr>
        <w:jc w:val="both"/>
        <w:rPr>
          <w:b/>
        </w:rPr>
      </w:pPr>
    </w:p>
    <w:p w14:paraId="1A3ED88F" w14:textId="539FBC84" w:rsidR="00E6185F" w:rsidRPr="00F32617" w:rsidRDefault="00E6185F" w:rsidP="00E6185F">
      <w:pPr>
        <w:rPr>
          <w:b/>
        </w:rPr>
      </w:pPr>
      <w:r w:rsidRPr="00F32617">
        <w:rPr>
          <w:b/>
        </w:rPr>
        <w:t xml:space="preserve">Budova </w:t>
      </w:r>
      <w:r w:rsidR="00233FAB">
        <w:rPr>
          <w:b/>
        </w:rPr>
        <w:t xml:space="preserve">Koleje </w:t>
      </w:r>
      <w:r w:rsidRPr="00F32617">
        <w:rPr>
          <w:b/>
        </w:rPr>
        <w:t>D – technická místnost</w:t>
      </w:r>
    </w:p>
    <w:p w14:paraId="30B73695" w14:textId="150E2F6E" w:rsidR="00E6185F" w:rsidRPr="00F32617" w:rsidRDefault="000C66F8" w:rsidP="000C66F8">
      <w:pPr>
        <w:numPr>
          <w:ilvl w:val="0"/>
          <w:numId w:val="14"/>
        </w:numPr>
        <w:contextualSpacing/>
        <w:jc w:val="both"/>
      </w:pPr>
      <w:r>
        <w:t>Propojení kabelů rozhraní strany budovy s kabelovým závěrem propojovacího kabelu s budovou C</w:t>
      </w:r>
      <w:r w:rsidR="00E6185F" w:rsidRPr="00F32617">
        <w:t xml:space="preserve"> </w:t>
      </w:r>
    </w:p>
    <w:p w14:paraId="7FB5AFCB" w14:textId="32BB2662" w:rsidR="00E6185F" w:rsidRPr="00F32617" w:rsidRDefault="00E6185F" w:rsidP="006A73C5">
      <w:pPr>
        <w:numPr>
          <w:ilvl w:val="0"/>
          <w:numId w:val="14"/>
        </w:numPr>
        <w:contextualSpacing/>
        <w:jc w:val="both"/>
      </w:pPr>
      <w:r w:rsidRPr="00F32617">
        <w:t>Demontáž a likvidace všech nevyužitých nástěnných rozvodů</w:t>
      </w:r>
    </w:p>
    <w:p w14:paraId="7825EB64" w14:textId="60F843D0" w:rsidR="00E6185F" w:rsidRPr="00F32617" w:rsidRDefault="00E6185F" w:rsidP="006A73C5">
      <w:pPr>
        <w:numPr>
          <w:ilvl w:val="0"/>
          <w:numId w:val="14"/>
        </w:numPr>
        <w:contextualSpacing/>
        <w:jc w:val="both"/>
      </w:pPr>
      <w:r w:rsidRPr="00F32617">
        <w:t>Demontáž stávajícího komunikačního systému Hicom, odvoz a ekologická likvidace</w:t>
      </w:r>
    </w:p>
    <w:p w14:paraId="61C443DA" w14:textId="09215C91" w:rsidR="00E6185F" w:rsidRPr="00F32617" w:rsidRDefault="00E6185F" w:rsidP="006A73C5">
      <w:pPr>
        <w:numPr>
          <w:ilvl w:val="0"/>
          <w:numId w:val="14"/>
        </w:numPr>
        <w:contextualSpacing/>
        <w:jc w:val="both"/>
      </w:pPr>
      <w:r w:rsidRPr="00F32617">
        <w:t>Úklid a vyčištění místnosti</w:t>
      </w:r>
    </w:p>
    <w:p w14:paraId="5BA53084" w14:textId="77777777" w:rsidR="00233FAB" w:rsidRPr="00F32617" w:rsidRDefault="00233FAB" w:rsidP="000C66F8">
      <w:pPr>
        <w:ind w:left="720"/>
        <w:contextualSpacing/>
        <w:jc w:val="both"/>
      </w:pPr>
    </w:p>
    <w:p w14:paraId="53B0AF12" w14:textId="031572A5" w:rsidR="00E6185F" w:rsidRPr="00F32617" w:rsidRDefault="00E6185F" w:rsidP="00E6185F">
      <w:pPr>
        <w:rPr>
          <w:b/>
        </w:rPr>
      </w:pPr>
      <w:r w:rsidRPr="00F32617">
        <w:rPr>
          <w:b/>
        </w:rPr>
        <w:t>Budova</w:t>
      </w:r>
      <w:r w:rsidR="00233FAB">
        <w:rPr>
          <w:b/>
        </w:rPr>
        <w:t xml:space="preserve"> Koleje</w:t>
      </w:r>
      <w:r w:rsidRPr="00F32617">
        <w:rPr>
          <w:b/>
        </w:rPr>
        <w:t xml:space="preserve"> E – technická místnost</w:t>
      </w:r>
    </w:p>
    <w:p w14:paraId="30272F94" w14:textId="5C3E3AF2" w:rsidR="000C66F8" w:rsidRDefault="000C66F8" w:rsidP="006A73C5">
      <w:pPr>
        <w:numPr>
          <w:ilvl w:val="0"/>
          <w:numId w:val="14"/>
        </w:numPr>
        <w:contextualSpacing/>
        <w:jc w:val="both"/>
      </w:pPr>
      <w:r>
        <w:t>Propojení kabelů rozhraní strany budovy s kabelovým závěrem propojovacího kabelu s budovou D</w:t>
      </w:r>
      <w:r w:rsidRPr="00F32617">
        <w:t xml:space="preserve"> </w:t>
      </w:r>
    </w:p>
    <w:p w14:paraId="0ACF8AA1" w14:textId="091B8C26" w:rsidR="00E6185F" w:rsidRPr="00F32617" w:rsidRDefault="00E6185F" w:rsidP="006A73C5">
      <w:pPr>
        <w:numPr>
          <w:ilvl w:val="0"/>
          <w:numId w:val="14"/>
        </w:numPr>
        <w:contextualSpacing/>
        <w:jc w:val="both"/>
      </w:pPr>
      <w:r w:rsidRPr="00F32617">
        <w:t>Demontáž a likvidace všech nevyužitých nástěnných rozvodů</w:t>
      </w:r>
    </w:p>
    <w:p w14:paraId="5705F42A" w14:textId="353E9B93" w:rsidR="00E6185F" w:rsidRPr="00F32617" w:rsidRDefault="00E6185F" w:rsidP="006A73C5">
      <w:pPr>
        <w:numPr>
          <w:ilvl w:val="0"/>
          <w:numId w:val="14"/>
        </w:numPr>
        <w:contextualSpacing/>
        <w:jc w:val="both"/>
      </w:pPr>
      <w:r w:rsidRPr="00F32617">
        <w:lastRenderedPageBreak/>
        <w:t>Demontáž stávajícího komunikačního systému Hicom, odvoz a ekologická likvidace</w:t>
      </w:r>
    </w:p>
    <w:p w14:paraId="1A74D982" w14:textId="3DE326B0" w:rsidR="00E6185F" w:rsidRPr="00F32617" w:rsidRDefault="00E6185F" w:rsidP="006A73C5">
      <w:pPr>
        <w:numPr>
          <w:ilvl w:val="0"/>
          <w:numId w:val="14"/>
        </w:numPr>
        <w:contextualSpacing/>
        <w:jc w:val="both"/>
      </w:pPr>
      <w:r w:rsidRPr="00F32617">
        <w:t>Úklid a vyčištění místnosti</w:t>
      </w:r>
    </w:p>
    <w:p w14:paraId="0FC9196F" w14:textId="30DCFF37" w:rsidR="00E6185F" w:rsidRPr="00F32617" w:rsidRDefault="00E6185F" w:rsidP="000C66F8">
      <w:pPr>
        <w:ind w:left="720"/>
        <w:contextualSpacing/>
        <w:jc w:val="both"/>
      </w:pPr>
    </w:p>
    <w:p w14:paraId="30E17C8F" w14:textId="77777777" w:rsidR="00E6185F" w:rsidRDefault="00E6185F" w:rsidP="006A73C5">
      <w:pPr>
        <w:jc w:val="both"/>
      </w:pPr>
    </w:p>
    <w:p w14:paraId="55744D7E" w14:textId="5E99E2CA" w:rsidR="00E6185F" w:rsidRPr="00F1449A" w:rsidRDefault="00E6185F" w:rsidP="006A73C5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 w:rsidRPr="00F1449A">
        <w:rPr>
          <w:b/>
          <w:sz w:val="28"/>
          <w:szCs w:val="28"/>
        </w:rPr>
        <w:t>Technické požadavky a požadavky na funkcionalitu v rámci celé komunikační sítě VŠB-TUO</w:t>
      </w:r>
    </w:p>
    <w:p w14:paraId="69CDC8EA" w14:textId="77777777" w:rsidR="00E6185F" w:rsidRPr="00403D44" w:rsidRDefault="00E6185F" w:rsidP="006A73C5">
      <w:pPr>
        <w:pStyle w:val="Odstavecseseznamem"/>
        <w:jc w:val="both"/>
        <w:rPr>
          <w:b/>
          <w:sz w:val="28"/>
          <w:szCs w:val="28"/>
        </w:rPr>
      </w:pPr>
    </w:p>
    <w:p w14:paraId="16A1B9AA" w14:textId="77777777" w:rsidR="00E6185F" w:rsidRPr="00B2324A" w:rsidRDefault="00E6185F" w:rsidP="006A73C5">
      <w:pPr>
        <w:pStyle w:val="Odstavecseseznamem"/>
        <w:numPr>
          <w:ilvl w:val="0"/>
          <w:numId w:val="2"/>
        </w:numPr>
        <w:jc w:val="both"/>
      </w:pPr>
      <w:r w:rsidRPr="00B2324A">
        <w:t xml:space="preserve">Používání síťového protokolu </w:t>
      </w:r>
      <w:r w:rsidR="00B2324A" w:rsidRPr="00B2324A">
        <w:t xml:space="preserve">podporující služby stávajících H4000 v síti </w:t>
      </w:r>
      <w:r w:rsidRPr="00B2324A">
        <w:t xml:space="preserve">(nutné pro </w:t>
      </w:r>
      <w:r w:rsidR="00B2324A" w:rsidRPr="00B2324A">
        <w:t xml:space="preserve">podporu </w:t>
      </w:r>
      <w:r w:rsidRPr="00B2324A">
        <w:t>služeb v síti ústředen VŠB mezi všemi stávajícími i novým systémem</w:t>
      </w:r>
      <w:r w:rsidR="00B2324A" w:rsidRPr="00B2324A">
        <w:t>, cílem jsou stejné služby na všech lokalitách a stejné ovládání)</w:t>
      </w:r>
    </w:p>
    <w:p w14:paraId="555C5D83" w14:textId="77777777" w:rsidR="00E6185F" w:rsidRPr="00403D44" w:rsidRDefault="00E6185F" w:rsidP="006A73C5">
      <w:pPr>
        <w:pStyle w:val="Odstavecseseznamem"/>
        <w:numPr>
          <w:ilvl w:val="0"/>
          <w:numId w:val="2"/>
        </w:numPr>
        <w:jc w:val="both"/>
      </w:pPr>
      <w:r w:rsidRPr="00B2324A">
        <w:t>Začlenění nových IP telefonů do systému centrální</w:t>
      </w:r>
      <w:r w:rsidRPr="00403D44">
        <w:t xml:space="preserve"> jednotné správy, a to pomocí jedné centrální aplikace, univerzální pro všechny používané IP telefony (management </w:t>
      </w:r>
      <w:r w:rsidR="00B2324A">
        <w:t>DLS</w:t>
      </w:r>
      <w:r w:rsidRPr="00403D44">
        <w:t>)</w:t>
      </w:r>
    </w:p>
    <w:p w14:paraId="537C519E" w14:textId="77777777" w:rsidR="00E6185F" w:rsidRPr="00403D44" w:rsidRDefault="00E6185F" w:rsidP="006A73C5">
      <w:pPr>
        <w:pStyle w:val="Odstavecseseznamem"/>
        <w:numPr>
          <w:ilvl w:val="0"/>
          <w:numId w:val="2"/>
        </w:numPr>
        <w:jc w:val="both"/>
      </w:pPr>
      <w:r w:rsidRPr="00403D44">
        <w:t xml:space="preserve">Začlenění nového systému do centrální aplikace správy komunikační infrastruktury VŠB-TUO, aktuálně je používána aplikace </w:t>
      </w:r>
      <w:r w:rsidR="00B2324A">
        <w:t>COMWIN</w:t>
      </w:r>
    </w:p>
    <w:p w14:paraId="6353EADF" w14:textId="77777777" w:rsidR="00E6185F" w:rsidRDefault="00E6185F" w:rsidP="006A73C5">
      <w:pPr>
        <w:pStyle w:val="Odstavecseseznamem"/>
        <w:numPr>
          <w:ilvl w:val="0"/>
          <w:numId w:val="2"/>
        </w:numPr>
        <w:jc w:val="both"/>
      </w:pPr>
      <w:r w:rsidRPr="00403D44">
        <w:t>Univerzální použitelnost a možná záměna všech typů koncových přístrojů (analogové, digitální i IP) v rámci celé komunikační infrastruktury VŠB</w:t>
      </w:r>
    </w:p>
    <w:p w14:paraId="25664A00" w14:textId="77777777" w:rsidR="00E6185F" w:rsidRPr="00403D44" w:rsidRDefault="00E6185F" w:rsidP="00E6185F">
      <w:pPr>
        <w:pStyle w:val="Odstavecseseznamem"/>
        <w:numPr>
          <w:ilvl w:val="0"/>
          <w:numId w:val="2"/>
        </w:numPr>
      </w:pPr>
      <w:r>
        <w:t xml:space="preserve">Využití stávajících analogových a digitálních telefonů </w:t>
      </w:r>
      <w:r w:rsidR="00041F64">
        <w:t>v síti H4000</w:t>
      </w:r>
    </w:p>
    <w:p w14:paraId="6031A56F" w14:textId="77777777" w:rsidR="00E6185F" w:rsidRDefault="00E6185F" w:rsidP="00E6185F">
      <w:pPr>
        <w:rPr>
          <w:color w:val="1F497D"/>
        </w:rPr>
      </w:pPr>
    </w:p>
    <w:p w14:paraId="6BA47F72" w14:textId="77777777" w:rsidR="00E6185F" w:rsidRDefault="00E6185F" w:rsidP="006A73C5">
      <w:pPr>
        <w:jc w:val="both"/>
      </w:pPr>
      <w:r w:rsidRPr="00403D44">
        <w:t>Nově dodaný komunikační systém musí splňovat</w:t>
      </w:r>
      <w:r>
        <w:t xml:space="preserve"> všechny v současnosti </w:t>
      </w:r>
      <w:r w:rsidR="00B2324A">
        <w:t xml:space="preserve">podporované funkce H4000 (aktuálně je v síti provozována V6), </w:t>
      </w:r>
      <w:r>
        <w:t xml:space="preserve">a to kompletně </w:t>
      </w:r>
      <w:r w:rsidRPr="00403D44">
        <w:t>v rámci síťového prostředí a mezi všemi systémy komun</w:t>
      </w:r>
      <w:r w:rsidRPr="00B2324A">
        <w:t>ikační infrastruktury VŠB</w:t>
      </w:r>
      <w:r w:rsidR="00B2324A">
        <w:t xml:space="preserve">-TUO. Nově dodávaný systém musí být plně kompatibilní a zadavatel bezpodmínečně trvá na plné integraci do infrastruktury bez degradace jakýchkoliv funkcionalit podporovaných nyní v síti H4000. </w:t>
      </w:r>
    </w:p>
    <w:sectPr w:rsidR="00E6185F" w:rsidSect="006A73C5">
      <w:headerReference w:type="default" r:id="rId11"/>
      <w:footerReference w:type="default" r:id="rId12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5ABFBD" w16cid:durableId="230DA8D6"/>
  <w16cid:commentId w16cid:paraId="6102B49E" w16cid:durableId="230DB485"/>
  <w16cid:commentId w16cid:paraId="02C79415" w16cid:durableId="230DA8D7"/>
  <w16cid:commentId w16cid:paraId="71E445F0" w16cid:durableId="230DB0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EEE76" w14:textId="77777777" w:rsidR="00ED3FCF" w:rsidRDefault="00ED3FCF" w:rsidP="006A73C5">
      <w:pPr>
        <w:spacing w:after="0" w:line="240" w:lineRule="auto"/>
      </w:pPr>
      <w:r>
        <w:separator/>
      </w:r>
    </w:p>
  </w:endnote>
  <w:endnote w:type="continuationSeparator" w:id="0">
    <w:p w14:paraId="500A5696" w14:textId="77777777" w:rsidR="00ED3FCF" w:rsidRDefault="00ED3FCF" w:rsidP="006A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059884"/>
      <w:docPartObj>
        <w:docPartGallery w:val="Page Numbers (Bottom of Page)"/>
        <w:docPartUnique/>
      </w:docPartObj>
    </w:sdtPr>
    <w:sdtEndPr/>
    <w:sdtContent>
      <w:p w14:paraId="143E5C41" w14:textId="371B4A26" w:rsidR="00F93E88" w:rsidRDefault="00F93E8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C9A">
          <w:rPr>
            <w:noProof/>
          </w:rPr>
          <w:t>8</w:t>
        </w:r>
        <w:r>
          <w:fldChar w:fldCharType="end"/>
        </w:r>
      </w:p>
    </w:sdtContent>
  </w:sdt>
  <w:p w14:paraId="4E931525" w14:textId="77777777" w:rsidR="00F93E88" w:rsidRDefault="00F93E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CF37" w14:textId="77777777" w:rsidR="00ED3FCF" w:rsidRDefault="00ED3FCF" w:rsidP="006A73C5">
      <w:pPr>
        <w:spacing w:after="0" w:line="240" w:lineRule="auto"/>
      </w:pPr>
      <w:r>
        <w:separator/>
      </w:r>
    </w:p>
  </w:footnote>
  <w:footnote w:type="continuationSeparator" w:id="0">
    <w:p w14:paraId="1082B6C5" w14:textId="77777777" w:rsidR="00ED3FCF" w:rsidRDefault="00ED3FCF" w:rsidP="006A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4B28" w14:textId="77777777" w:rsidR="006A73C5" w:rsidRPr="006A73C5" w:rsidRDefault="006A73C5" w:rsidP="006A73C5">
    <w:pPr>
      <w:pStyle w:val="Zhlav"/>
      <w:jc w:val="right"/>
      <w:rPr>
        <w:i/>
        <w:sz w:val="20"/>
        <w:szCs w:val="20"/>
      </w:rPr>
    </w:pPr>
    <w:r w:rsidRPr="006A73C5">
      <w:rPr>
        <w:i/>
        <w:sz w:val="20"/>
        <w:szCs w:val="20"/>
      </w:rPr>
      <w:t>Příloha č. 1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1D7"/>
    <w:multiLevelType w:val="hybridMultilevel"/>
    <w:tmpl w:val="ED3C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3B8"/>
    <w:multiLevelType w:val="hybridMultilevel"/>
    <w:tmpl w:val="4B30E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F3B"/>
    <w:multiLevelType w:val="hybridMultilevel"/>
    <w:tmpl w:val="B9A6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545DB"/>
    <w:multiLevelType w:val="multilevel"/>
    <w:tmpl w:val="5C242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33E3B64"/>
    <w:multiLevelType w:val="hybridMultilevel"/>
    <w:tmpl w:val="6AFE0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1952"/>
    <w:multiLevelType w:val="hybridMultilevel"/>
    <w:tmpl w:val="2B8AC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480F"/>
    <w:multiLevelType w:val="hybridMultilevel"/>
    <w:tmpl w:val="105C0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DE9"/>
    <w:multiLevelType w:val="hybridMultilevel"/>
    <w:tmpl w:val="F3B61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C50A3"/>
    <w:multiLevelType w:val="hybridMultilevel"/>
    <w:tmpl w:val="A79CB7EA"/>
    <w:lvl w:ilvl="0" w:tplc="6D28F4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86973"/>
    <w:multiLevelType w:val="multilevel"/>
    <w:tmpl w:val="7F8ECCBE"/>
    <w:lvl w:ilvl="0">
      <w:start w:val="1"/>
      <w:numFmt w:val="decimal"/>
      <w:pStyle w:val="Nadpissl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sl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sla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sla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dpissla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067EE7"/>
    <w:multiLevelType w:val="hybridMultilevel"/>
    <w:tmpl w:val="70389BBE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A2E3AE6"/>
    <w:multiLevelType w:val="hybridMultilevel"/>
    <w:tmpl w:val="9B2A0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A1F81"/>
    <w:multiLevelType w:val="hybridMultilevel"/>
    <w:tmpl w:val="9B2A0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24508"/>
    <w:multiLevelType w:val="hybridMultilevel"/>
    <w:tmpl w:val="EA50C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46FC3"/>
    <w:multiLevelType w:val="hybridMultilevel"/>
    <w:tmpl w:val="55D41A9E"/>
    <w:lvl w:ilvl="0" w:tplc="F9FE1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A4012"/>
    <w:multiLevelType w:val="hybridMultilevel"/>
    <w:tmpl w:val="68A612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03BE6"/>
    <w:multiLevelType w:val="hybridMultilevel"/>
    <w:tmpl w:val="E946A17E"/>
    <w:lvl w:ilvl="0" w:tplc="C560A058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905AB"/>
    <w:multiLevelType w:val="hybridMultilevel"/>
    <w:tmpl w:val="195078B6"/>
    <w:lvl w:ilvl="0" w:tplc="495A7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E45A5"/>
    <w:multiLevelType w:val="hybridMultilevel"/>
    <w:tmpl w:val="0A14E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250A6"/>
    <w:multiLevelType w:val="hybridMultilevel"/>
    <w:tmpl w:val="6D4E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C502C"/>
    <w:multiLevelType w:val="hybridMultilevel"/>
    <w:tmpl w:val="FFB45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F3AF0"/>
    <w:multiLevelType w:val="hybridMultilevel"/>
    <w:tmpl w:val="A78AEE7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9"/>
  </w:num>
  <w:num w:numId="5">
    <w:abstractNumId w:val="13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14"/>
  </w:num>
  <w:num w:numId="14">
    <w:abstractNumId w:val="21"/>
  </w:num>
  <w:num w:numId="15">
    <w:abstractNumId w:val="17"/>
  </w:num>
  <w:num w:numId="16">
    <w:abstractNumId w:val="16"/>
  </w:num>
  <w:num w:numId="17">
    <w:abstractNumId w:val="15"/>
  </w:num>
  <w:num w:numId="18">
    <w:abstractNumId w:val="0"/>
  </w:num>
  <w:num w:numId="19">
    <w:abstractNumId w:val="18"/>
  </w:num>
  <w:num w:numId="2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NrQwNTMztjSxMDFS0lEKTi0uzszPAykwqwUA2RCyICwAAAA="/>
  </w:docVars>
  <w:rsids>
    <w:rsidRoot w:val="00E6185F"/>
    <w:rsid w:val="00005080"/>
    <w:rsid w:val="00020CCE"/>
    <w:rsid w:val="00041F64"/>
    <w:rsid w:val="000464E9"/>
    <w:rsid w:val="00056F74"/>
    <w:rsid w:val="000774DD"/>
    <w:rsid w:val="000B7ADC"/>
    <w:rsid w:val="000C07E5"/>
    <w:rsid w:val="000C63D4"/>
    <w:rsid w:val="000C66F8"/>
    <w:rsid w:val="000D0ACA"/>
    <w:rsid w:val="001047C2"/>
    <w:rsid w:val="001D597C"/>
    <w:rsid w:val="00233FAB"/>
    <w:rsid w:val="00265F0B"/>
    <w:rsid w:val="002861D7"/>
    <w:rsid w:val="0028629D"/>
    <w:rsid w:val="00296E6F"/>
    <w:rsid w:val="002C1FDC"/>
    <w:rsid w:val="002F4941"/>
    <w:rsid w:val="00305C9A"/>
    <w:rsid w:val="003529EF"/>
    <w:rsid w:val="00395E0C"/>
    <w:rsid w:val="003969F2"/>
    <w:rsid w:val="003A35A1"/>
    <w:rsid w:val="003A3F13"/>
    <w:rsid w:val="003C21AA"/>
    <w:rsid w:val="003E6BBB"/>
    <w:rsid w:val="004249BA"/>
    <w:rsid w:val="0043300F"/>
    <w:rsid w:val="00446CFE"/>
    <w:rsid w:val="004D0C86"/>
    <w:rsid w:val="004E0CD9"/>
    <w:rsid w:val="00526ECD"/>
    <w:rsid w:val="00541753"/>
    <w:rsid w:val="0056408C"/>
    <w:rsid w:val="005666AB"/>
    <w:rsid w:val="005C0373"/>
    <w:rsid w:val="005D2CCD"/>
    <w:rsid w:val="005E2805"/>
    <w:rsid w:val="00606689"/>
    <w:rsid w:val="00611FD3"/>
    <w:rsid w:val="006143D2"/>
    <w:rsid w:val="00626845"/>
    <w:rsid w:val="006608EA"/>
    <w:rsid w:val="00662B3D"/>
    <w:rsid w:val="00675A35"/>
    <w:rsid w:val="006A73C5"/>
    <w:rsid w:val="006D61AD"/>
    <w:rsid w:val="007035C9"/>
    <w:rsid w:val="00741088"/>
    <w:rsid w:val="007531E3"/>
    <w:rsid w:val="007724FC"/>
    <w:rsid w:val="007D219B"/>
    <w:rsid w:val="008353FB"/>
    <w:rsid w:val="0085000E"/>
    <w:rsid w:val="0085688C"/>
    <w:rsid w:val="00862005"/>
    <w:rsid w:val="00872C7E"/>
    <w:rsid w:val="00886540"/>
    <w:rsid w:val="008C573B"/>
    <w:rsid w:val="008F4D41"/>
    <w:rsid w:val="00902A91"/>
    <w:rsid w:val="00907C3F"/>
    <w:rsid w:val="0096236E"/>
    <w:rsid w:val="0096304B"/>
    <w:rsid w:val="00965AEE"/>
    <w:rsid w:val="009C458B"/>
    <w:rsid w:val="009F4160"/>
    <w:rsid w:val="00A05311"/>
    <w:rsid w:val="00A06217"/>
    <w:rsid w:val="00A22465"/>
    <w:rsid w:val="00A65B4A"/>
    <w:rsid w:val="00A72F7D"/>
    <w:rsid w:val="00A73872"/>
    <w:rsid w:val="00AC55BB"/>
    <w:rsid w:val="00B22259"/>
    <w:rsid w:val="00B2324A"/>
    <w:rsid w:val="00B26CF0"/>
    <w:rsid w:val="00B33F15"/>
    <w:rsid w:val="00B45580"/>
    <w:rsid w:val="00B72B15"/>
    <w:rsid w:val="00BB481E"/>
    <w:rsid w:val="00BD40BD"/>
    <w:rsid w:val="00BD4D07"/>
    <w:rsid w:val="00BE469F"/>
    <w:rsid w:val="00BF3EB8"/>
    <w:rsid w:val="00C10B6A"/>
    <w:rsid w:val="00C76A87"/>
    <w:rsid w:val="00C872F7"/>
    <w:rsid w:val="00CF3A72"/>
    <w:rsid w:val="00D052AF"/>
    <w:rsid w:val="00D44DE6"/>
    <w:rsid w:val="00DC70FC"/>
    <w:rsid w:val="00DD208C"/>
    <w:rsid w:val="00E42651"/>
    <w:rsid w:val="00E6185F"/>
    <w:rsid w:val="00E6260F"/>
    <w:rsid w:val="00E8762D"/>
    <w:rsid w:val="00E87778"/>
    <w:rsid w:val="00ED3FCF"/>
    <w:rsid w:val="00EE13A5"/>
    <w:rsid w:val="00EE1CE3"/>
    <w:rsid w:val="00EF0C14"/>
    <w:rsid w:val="00F3502F"/>
    <w:rsid w:val="00F36582"/>
    <w:rsid w:val="00F37637"/>
    <w:rsid w:val="00F502CA"/>
    <w:rsid w:val="00F93E88"/>
    <w:rsid w:val="00FB31D5"/>
    <w:rsid w:val="00FB6753"/>
    <w:rsid w:val="00FB7C5B"/>
    <w:rsid w:val="00FC4CE9"/>
    <w:rsid w:val="00F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E8FF"/>
  <w15:chartTrackingRefBased/>
  <w15:docId w15:val="{29CDF4F5-2D40-4D83-8F1C-ABE1D13C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85F"/>
  </w:style>
  <w:style w:type="paragraph" w:styleId="Nadpis1">
    <w:name w:val="heading 1"/>
    <w:basedOn w:val="Normln"/>
    <w:next w:val="Normln"/>
    <w:link w:val="Nadpis1Char"/>
    <w:uiPriority w:val="9"/>
    <w:qFormat/>
    <w:rsid w:val="00E61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18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18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E6185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dstavecseseznamemChar">
    <w:name w:val="Odstavec se seznamem Char"/>
    <w:aliases w:val="List Paragraph (Czech Tourism) Char,Table of contents numbered Char"/>
    <w:basedOn w:val="Standardnpsmoodstavce"/>
    <w:link w:val="Odstavecseseznamem"/>
    <w:uiPriority w:val="34"/>
    <w:rsid w:val="00E6185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E6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drtext">
    <w:name w:val="Modrý text"/>
    <w:basedOn w:val="Standardnpsmoodstavce"/>
    <w:uiPriority w:val="1"/>
    <w:qFormat/>
    <w:rsid w:val="00E6185F"/>
    <w:rPr>
      <w:color w:val="ED7D31" w:themeColor="accent2"/>
    </w:rPr>
  </w:style>
  <w:style w:type="character" w:customStyle="1" w:styleId="Zelentext">
    <w:name w:val="Zelený text"/>
    <w:basedOn w:val="Standardnpsmoodstavce"/>
    <w:uiPriority w:val="1"/>
    <w:qFormat/>
    <w:rsid w:val="00E6185F"/>
    <w:rPr>
      <w:color w:val="5B9BD5" w:themeColor="accent1"/>
    </w:rPr>
  </w:style>
  <w:style w:type="paragraph" w:customStyle="1" w:styleId="Nadpissla1">
    <w:name w:val="Nadpis čísla 1"/>
    <w:basedOn w:val="Nadpis1"/>
    <w:next w:val="Normln"/>
    <w:link w:val="Nadpissla1Char"/>
    <w:qFormat/>
    <w:rsid w:val="00E6185F"/>
    <w:pPr>
      <w:numPr>
        <w:numId w:val="7"/>
      </w:numPr>
      <w:spacing w:before="480" w:after="120" w:line="240" w:lineRule="auto"/>
      <w:ind w:left="680" w:hanging="680"/>
    </w:pPr>
    <w:rPr>
      <w:b/>
      <w:bCs/>
      <w:color w:val="5B9BD5" w:themeColor="accent1"/>
      <w:sz w:val="42"/>
      <w:szCs w:val="28"/>
    </w:rPr>
  </w:style>
  <w:style w:type="character" w:customStyle="1" w:styleId="Nadpissla1Char">
    <w:name w:val="Nadpis čísla 1 Char"/>
    <w:basedOn w:val="Nadpis1Char"/>
    <w:link w:val="Nadpissla1"/>
    <w:rsid w:val="00E6185F"/>
    <w:rPr>
      <w:rFonts w:asciiTheme="majorHAnsi" w:eastAsiaTheme="majorEastAsia" w:hAnsiTheme="majorHAnsi" w:cstheme="majorBidi"/>
      <w:b/>
      <w:bCs/>
      <w:color w:val="5B9BD5" w:themeColor="accent1"/>
      <w:sz w:val="42"/>
      <w:szCs w:val="28"/>
    </w:rPr>
  </w:style>
  <w:style w:type="paragraph" w:customStyle="1" w:styleId="Nadpissla2">
    <w:name w:val="Nadpis čísla 2"/>
    <w:basedOn w:val="Nadpis2"/>
    <w:next w:val="Normln"/>
    <w:link w:val="Nadpissla2Char"/>
    <w:qFormat/>
    <w:rsid w:val="00E6185F"/>
    <w:pPr>
      <w:numPr>
        <w:ilvl w:val="1"/>
        <w:numId w:val="7"/>
      </w:numPr>
      <w:spacing w:before="200" w:after="120" w:line="240" w:lineRule="auto"/>
      <w:ind w:left="851" w:hanging="851"/>
    </w:pPr>
    <w:rPr>
      <w:b/>
      <w:bCs/>
      <w:color w:val="ED7D31" w:themeColor="accent2"/>
      <w:sz w:val="30"/>
    </w:rPr>
  </w:style>
  <w:style w:type="character" w:customStyle="1" w:styleId="Nadpissla2Char">
    <w:name w:val="Nadpis čísla 2 Char"/>
    <w:basedOn w:val="Standardnpsmoodstavce"/>
    <w:link w:val="Nadpissla2"/>
    <w:rsid w:val="00E6185F"/>
    <w:rPr>
      <w:rFonts w:asciiTheme="majorHAnsi" w:eastAsiaTheme="majorEastAsia" w:hAnsiTheme="majorHAnsi" w:cstheme="majorBidi"/>
      <w:b/>
      <w:bCs/>
      <w:color w:val="ED7D31" w:themeColor="accent2"/>
      <w:sz w:val="30"/>
      <w:szCs w:val="26"/>
    </w:rPr>
  </w:style>
  <w:style w:type="paragraph" w:customStyle="1" w:styleId="Nadpissla3">
    <w:name w:val="Nadpis čísla 3"/>
    <w:basedOn w:val="Nadpis3"/>
    <w:next w:val="Normln"/>
    <w:link w:val="Nadpissla3Char"/>
    <w:qFormat/>
    <w:rsid w:val="00E6185F"/>
    <w:pPr>
      <w:numPr>
        <w:ilvl w:val="2"/>
        <w:numId w:val="7"/>
      </w:numPr>
      <w:spacing w:before="200" w:after="120" w:line="240" w:lineRule="auto"/>
      <w:ind w:left="1134" w:hanging="1134"/>
    </w:pPr>
    <w:rPr>
      <w:b/>
      <w:bCs/>
      <w:color w:val="5B9BD5" w:themeColor="accent1"/>
      <w:sz w:val="26"/>
      <w:szCs w:val="22"/>
    </w:rPr>
  </w:style>
  <w:style w:type="paragraph" w:customStyle="1" w:styleId="Nadpissla4">
    <w:name w:val="Nadpis čísla 4"/>
    <w:basedOn w:val="Nadpis3"/>
    <w:qFormat/>
    <w:rsid w:val="00E6185F"/>
    <w:pPr>
      <w:numPr>
        <w:ilvl w:val="3"/>
        <w:numId w:val="7"/>
      </w:numPr>
      <w:tabs>
        <w:tab w:val="num" w:pos="360"/>
      </w:tabs>
      <w:spacing w:before="200" w:after="120" w:line="240" w:lineRule="auto"/>
      <w:ind w:left="1247" w:hanging="1247"/>
    </w:pPr>
    <w:rPr>
      <w:b/>
      <w:bCs/>
      <w:color w:val="ED7D31" w:themeColor="accent2"/>
      <w:sz w:val="22"/>
      <w:szCs w:val="22"/>
    </w:rPr>
  </w:style>
  <w:style w:type="character" w:customStyle="1" w:styleId="Nadpissla3Char">
    <w:name w:val="Nadpis čísla 3 Char"/>
    <w:basedOn w:val="Standardnpsmoodstavce"/>
    <w:link w:val="Nadpissla3"/>
    <w:rsid w:val="00E6185F"/>
    <w:rPr>
      <w:rFonts w:asciiTheme="majorHAnsi" w:eastAsiaTheme="majorEastAsia" w:hAnsiTheme="majorHAnsi" w:cstheme="majorBidi"/>
      <w:b/>
      <w:bCs/>
      <w:color w:val="5B9BD5" w:themeColor="accent1"/>
      <w:sz w:val="26"/>
    </w:rPr>
  </w:style>
  <w:style w:type="paragraph" w:customStyle="1" w:styleId="Texttabulky">
    <w:name w:val="Text tabulky"/>
    <w:qFormat/>
    <w:rsid w:val="00E6185F"/>
    <w:pPr>
      <w:keepLines/>
      <w:spacing w:before="40" w:after="40" w:line="240" w:lineRule="auto"/>
    </w:pPr>
  </w:style>
  <w:style w:type="paragraph" w:customStyle="1" w:styleId="Nadpissla5">
    <w:name w:val="Nadpis čísla 5"/>
    <w:basedOn w:val="Nadpis5"/>
    <w:qFormat/>
    <w:rsid w:val="00E6185F"/>
    <w:pPr>
      <w:numPr>
        <w:ilvl w:val="4"/>
        <w:numId w:val="7"/>
      </w:numPr>
      <w:tabs>
        <w:tab w:val="num" w:pos="360"/>
      </w:tabs>
      <w:spacing w:before="120" w:after="120" w:line="240" w:lineRule="auto"/>
      <w:ind w:left="1361" w:hanging="1361"/>
    </w:pPr>
  </w:style>
  <w:style w:type="paragraph" w:styleId="Nzev">
    <w:name w:val="Title"/>
    <w:basedOn w:val="Normln"/>
    <w:next w:val="Normln"/>
    <w:link w:val="NzevChar"/>
    <w:uiPriority w:val="10"/>
    <w:rsid w:val="00E6185F"/>
    <w:pPr>
      <w:spacing w:after="0" w:line="240" w:lineRule="auto"/>
      <w:ind w:left="567"/>
      <w:jc w:val="both"/>
    </w:pPr>
    <w:rPr>
      <w:rFonts w:asciiTheme="majorHAnsi" w:eastAsiaTheme="majorEastAsia" w:hAnsiTheme="majorHAnsi" w:cstheme="majorBidi"/>
      <w:b/>
      <w:bCs/>
      <w:color w:val="44546A" w:themeColor="text2"/>
      <w:sz w:val="88"/>
      <w:szCs w:val="88"/>
    </w:rPr>
  </w:style>
  <w:style w:type="character" w:customStyle="1" w:styleId="NzevChar">
    <w:name w:val="Název Char"/>
    <w:basedOn w:val="Standardnpsmoodstavce"/>
    <w:link w:val="Nzev"/>
    <w:uiPriority w:val="10"/>
    <w:rsid w:val="00E6185F"/>
    <w:rPr>
      <w:rFonts w:asciiTheme="majorHAnsi" w:eastAsiaTheme="majorEastAsia" w:hAnsiTheme="majorHAnsi" w:cstheme="majorBidi"/>
      <w:b/>
      <w:bCs/>
      <w:color w:val="44546A" w:themeColor="text2"/>
      <w:sz w:val="88"/>
      <w:szCs w:val="88"/>
    </w:rPr>
  </w:style>
  <w:style w:type="character" w:customStyle="1" w:styleId="Nadpis1Char">
    <w:name w:val="Nadpis 1 Char"/>
    <w:basedOn w:val="Standardnpsmoodstavce"/>
    <w:link w:val="Nadpis1"/>
    <w:uiPriority w:val="9"/>
    <w:rsid w:val="00E61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18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185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6A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3C5"/>
  </w:style>
  <w:style w:type="paragraph" w:styleId="Zpat">
    <w:name w:val="footer"/>
    <w:basedOn w:val="Normln"/>
    <w:link w:val="ZpatChar"/>
    <w:uiPriority w:val="99"/>
    <w:unhideWhenUsed/>
    <w:rsid w:val="006A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3C5"/>
  </w:style>
  <w:style w:type="paragraph" w:customStyle="1" w:styleId="ODSTAVEC">
    <w:name w:val="ODSTAVEC"/>
    <w:basedOn w:val="Bezmezer"/>
    <w:qFormat/>
    <w:rsid w:val="00BD4D07"/>
    <w:p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uiPriority w:val="1"/>
    <w:qFormat/>
    <w:rsid w:val="00BD4D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00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D61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1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1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1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1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E63CF267FFD48B6F6EA02D063F032" ma:contentTypeVersion="13" ma:contentTypeDescription="Vytvoří nový dokument" ma:contentTypeScope="" ma:versionID="cfb29196623a4314609dcdca4a6d2be6">
  <xsd:schema xmlns:xsd="http://www.w3.org/2001/XMLSchema" xmlns:xs="http://www.w3.org/2001/XMLSchema" xmlns:p="http://schemas.microsoft.com/office/2006/metadata/properties" xmlns:ns3="9e55181b-ab57-4554-b031-aa7b6970892c" xmlns:ns4="ead840d1-e9f3-4558-8f1d-4866a7b943a8" targetNamespace="http://schemas.microsoft.com/office/2006/metadata/properties" ma:root="true" ma:fieldsID="e6287658ff9bee931a7dbf9171e5a172" ns3:_="" ns4:_="">
    <xsd:import namespace="9e55181b-ab57-4554-b031-aa7b6970892c"/>
    <xsd:import namespace="ead840d1-e9f3-4558-8f1d-4866a7b94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181b-ab57-4554-b031-aa7b6970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40d1-e9f3-4558-8f1d-4866a7b94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4ADF-7A99-4790-93AF-5A5EECE7F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ECE73-DEDC-4E09-AA52-7C5647806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E1165-3DAD-4D25-90B1-2EF008917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181b-ab57-4554-b031-aa7b6970892c"/>
    <ds:schemaRef ds:uri="ead840d1-e9f3-4558-8f1d-4866a7b94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E9F32-FD1A-420E-8858-E19295FF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2391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Kubešová</cp:lastModifiedBy>
  <cp:revision>2</cp:revision>
  <dcterms:created xsi:type="dcterms:W3CDTF">2020-10-29T08:03:00Z</dcterms:created>
  <dcterms:modified xsi:type="dcterms:W3CDTF">2020-10-29T08:03:00Z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0x010100603E63CF267FFD48B6F6EA02D063F032</vt:lpwstr>
  </property>
</Properties>
</file>