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7602" w14:textId="2AF52B7A" w:rsidR="00B14874" w:rsidRPr="00167387" w:rsidRDefault="00167387" w:rsidP="00B14874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color w:val="000000"/>
          <w:sz w:val="20"/>
          <w:szCs w:val="20"/>
        </w:rPr>
        <w:t xml:space="preserve">Příloha č. 1 - </w:t>
      </w:r>
      <w:r w:rsidR="00B14874" w:rsidRPr="00167387">
        <w:rPr>
          <w:rFonts w:ascii="Tahoma" w:hAnsi="Tahoma" w:cs="Tahoma"/>
          <w:color w:val="000000"/>
          <w:sz w:val="20"/>
          <w:szCs w:val="20"/>
        </w:rPr>
        <w:t>Technická</w:t>
      </w:r>
      <w:r w:rsidR="00B14874" w:rsidRPr="00167387">
        <w:rPr>
          <w:rFonts w:ascii="Tahoma" w:hAnsi="Tahoma" w:cs="Tahoma"/>
          <w:sz w:val="20"/>
          <w:szCs w:val="20"/>
        </w:rPr>
        <w:t xml:space="preserve"> specifikace </w:t>
      </w:r>
    </w:p>
    <w:p w14:paraId="22720B76" w14:textId="77777777" w:rsidR="00B14874" w:rsidRPr="00167387" w:rsidRDefault="00B14874" w:rsidP="00B14874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C2E7474" w14:textId="77777777" w:rsidR="00B14874" w:rsidRPr="00167387" w:rsidRDefault="00B14874" w:rsidP="00B14874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167387">
        <w:rPr>
          <w:rFonts w:ascii="Tahoma" w:hAnsi="Tahoma" w:cs="Tahoma"/>
          <w:b/>
          <w:szCs w:val="20"/>
        </w:rPr>
        <w:t xml:space="preserve">Technická specifikace </w:t>
      </w:r>
    </w:p>
    <w:p w14:paraId="23A02318" w14:textId="1B6EE20B" w:rsidR="000C650A" w:rsidRPr="00167387" w:rsidRDefault="008E2CAE" w:rsidP="00B14874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167387">
        <w:rPr>
          <w:rFonts w:ascii="Tahoma" w:hAnsi="Tahoma" w:cs="Tahoma"/>
          <w:b/>
          <w:sz w:val="20"/>
          <w:szCs w:val="20"/>
          <w:u w:val="single"/>
        </w:rPr>
        <w:t>Debugger</w:t>
      </w:r>
    </w:p>
    <w:p w14:paraId="54E86D16" w14:textId="447CF0B7" w:rsidR="00B14874" w:rsidRPr="00167387" w:rsidRDefault="00B14874" w:rsidP="00B14874">
      <w:pPr>
        <w:spacing w:before="120"/>
        <w:rPr>
          <w:rFonts w:ascii="Tahoma" w:hAnsi="Tahoma" w:cs="Tahoma"/>
          <w:b/>
          <w:sz w:val="20"/>
          <w:szCs w:val="20"/>
        </w:rPr>
      </w:pPr>
      <w:r w:rsidRPr="00167387">
        <w:rPr>
          <w:rFonts w:ascii="Tahoma" w:hAnsi="Tahoma" w:cs="Tahoma"/>
          <w:b/>
          <w:sz w:val="20"/>
          <w:szCs w:val="20"/>
        </w:rPr>
        <w:t xml:space="preserve">Výrobce </w:t>
      </w:r>
      <w:r w:rsidR="00167387">
        <w:rPr>
          <w:rFonts w:ascii="Tahoma" w:hAnsi="Tahoma" w:cs="Tahoma"/>
          <w:b/>
          <w:sz w:val="20"/>
          <w:szCs w:val="20"/>
        </w:rPr>
        <w:t>software</w:t>
      </w:r>
      <w:r w:rsidRPr="00167387">
        <w:rPr>
          <w:rFonts w:ascii="Tahoma" w:hAnsi="Tahoma" w:cs="Tahoma"/>
          <w:b/>
          <w:sz w:val="20"/>
          <w:szCs w:val="20"/>
        </w:rPr>
        <w:t>:</w:t>
      </w:r>
      <w:r w:rsidRPr="00167387">
        <w:rPr>
          <w:rFonts w:ascii="Tahoma" w:hAnsi="Tahoma" w:cs="Tahoma"/>
          <w:b/>
          <w:sz w:val="20"/>
          <w:szCs w:val="20"/>
        </w:rPr>
        <w:tab/>
      </w:r>
      <w:r w:rsidR="00167387">
        <w:rPr>
          <w:rFonts w:ascii="Tahoma" w:hAnsi="Tahoma" w:cs="Tahoma"/>
          <w:b/>
          <w:sz w:val="20"/>
          <w:szCs w:val="20"/>
        </w:rPr>
        <w:tab/>
      </w:r>
      <w:r w:rsidR="00167387">
        <w:rPr>
          <w:rFonts w:ascii="Tahoma" w:hAnsi="Tahoma" w:cs="Tahoma"/>
          <w:b/>
          <w:sz w:val="20"/>
          <w:szCs w:val="20"/>
        </w:rPr>
        <w:tab/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3ADC606" w14:textId="5B60A53E" w:rsidR="00B14874" w:rsidRPr="00167387" w:rsidRDefault="00B14874" w:rsidP="00B14874">
      <w:pPr>
        <w:spacing w:before="12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b/>
          <w:sz w:val="20"/>
          <w:szCs w:val="20"/>
        </w:rPr>
        <w:t>Přesn</w:t>
      </w:r>
      <w:r w:rsidR="00167387">
        <w:rPr>
          <w:rFonts w:ascii="Tahoma" w:hAnsi="Tahoma" w:cs="Tahoma"/>
          <w:b/>
          <w:sz w:val="20"/>
          <w:szCs w:val="20"/>
        </w:rPr>
        <w:t>ý název software</w:t>
      </w:r>
      <w:r w:rsidRPr="00167387">
        <w:rPr>
          <w:rFonts w:ascii="Tahoma" w:hAnsi="Tahoma" w:cs="Tahoma"/>
          <w:b/>
          <w:sz w:val="20"/>
          <w:szCs w:val="20"/>
        </w:rPr>
        <w:t>:</w:t>
      </w:r>
      <w:r w:rsidRPr="00167387">
        <w:rPr>
          <w:rFonts w:ascii="Tahoma" w:hAnsi="Tahoma" w:cs="Tahoma"/>
          <w:b/>
          <w:sz w:val="20"/>
          <w:szCs w:val="20"/>
        </w:rPr>
        <w:tab/>
      </w:r>
      <w:r w:rsidR="00167387">
        <w:rPr>
          <w:rFonts w:ascii="Tahoma" w:hAnsi="Tahoma" w:cs="Tahoma"/>
          <w:b/>
          <w:sz w:val="20"/>
          <w:szCs w:val="20"/>
        </w:rPr>
        <w:tab/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167387" w:rsidRPr="00183AEC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6C92B6A2" w14:textId="65080F6D" w:rsidR="00B14874" w:rsidRPr="00167387" w:rsidRDefault="00167387" w:rsidP="00B14874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Počet kusů: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ab/>
      </w:r>
      <w:r w:rsidR="00A12393" w:rsidRPr="00167387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licence</w:t>
      </w:r>
    </w:p>
    <w:p w14:paraId="537558C4" w14:textId="05BFC4CD" w:rsidR="00B14874" w:rsidRPr="00167387" w:rsidRDefault="00B14874" w:rsidP="00B14874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14:paraId="57DB310B" w14:textId="0F2AA8E7" w:rsidR="00B14874" w:rsidRPr="00167387" w:rsidRDefault="00167387" w:rsidP="00B14874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Software</w:t>
      </w:r>
      <w:r w:rsidR="00B14874" w:rsidRPr="00167387">
        <w:rPr>
          <w:rFonts w:ascii="Tahoma" w:hAnsi="Tahoma" w:cs="Tahoma"/>
          <w:b/>
          <w:sz w:val="20"/>
          <w:szCs w:val="20"/>
        </w:rPr>
        <w:t xml:space="preserve"> musí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="00B14874" w:rsidRPr="00167387">
        <w:rPr>
          <w:rFonts w:ascii="Tahoma" w:hAnsi="Tahoma" w:cs="Tahoma"/>
          <w:b/>
          <w:sz w:val="20"/>
          <w:szCs w:val="20"/>
        </w:rPr>
        <w:t>splňovat následující kritéria:</w:t>
      </w:r>
    </w:p>
    <w:p w14:paraId="70338DB4" w14:textId="7777777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>Ladění a disassembling software pro CPU s architekturami x86, x64, ARM, PowerPC (e200 a e500), MIPS, SuperH, Tricore.</w:t>
      </w:r>
    </w:p>
    <w:p w14:paraId="04D01FA4" w14:textId="7777777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>Grafické znázornění struktury disassemblovaného kódu  analyzovaného programu.</w:t>
      </w:r>
    </w:p>
    <w:p w14:paraId="3F5A83C3" w14:textId="7777777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 xml:space="preserve">Podpora plug-inů, možnost řízení činnosti debuggeru skriptem. </w:t>
      </w:r>
    </w:p>
    <w:p w14:paraId="0E7D97A0" w14:textId="72C48FDF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>Podpora formátů analyzovaného programu:</w:t>
      </w:r>
      <w:r w:rsidRPr="0016738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167387">
        <w:rPr>
          <w:rFonts w:ascii="Tahoma" w:eastAsia="Calibri" w:hAnsi="Tahoma" w:cs="Tahoma"/>
          <w:sz w:val="20"/>
          <w:szCs w:val="20"/>
          <w:lang w:eastAsia="en-US"/>
        </w:rPr>
        <w:t>PE, ELF, AOUT, COFF, Intel HEX, S-record, binární formát</w:t>
      </w:r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032E890E" w14:textId="7777777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>Podpora cross-platform ladění s použitím připojení k GDB serveru.</w:t>
      </w:r>
    </w:p>
    <w:p w14:paraId="2B4C8CD8" w14:textId="7777777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</w:rPr>
      </w:pPr>
      <w:r w:rsidRPr="00167387">
        <w:rPr>
          <w:rFonts w:ascii="Tahoma" w:hAnsi="Tahoma" w:cs="Tahoma"/>
          <w:sz w:val="20"/>
          <w:szCs w:val="20"/>
        </w:rPr>
        <w:t>Licence vázaná na konkrétní pracovní stanici.</w:t>
      </w:r>
    </w:p>
    <w:p w14:paraId="32C3FB23" w14:textId="729E6707" w:rsidR="00167387" w:rsidRPr="00167387" w:rsidRDefault="00167387" w:rsidP="00167387">
      <w:pPr>
        <w:pStyle w:val="Odstavecseseznamem"/>
        <w:keepLines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ahoma" w:hAnsi="Tahoma" w:cs="Tahoma"/>
          <w:sz w:val="20"/>
          <w:szCs w:val="20"/>
          <w:lang w:val="en-US"/>
        </w:rPr>
      </w:pPr>
      <w:r w:rsidRPr="00167387">
        <w:rPr>
          <w:rFonts w:ascii="Tahoma" w:hAnsi="Tahoma" w:cs="Tahoma"/>
          <w:sz w:val="20"/>
          <w:szCs w:val="20"/>
        </w:rPr>
        <w:t xml:space="preserve">Celková délka trvání technické podpory min. </w:t>
      </w:r>
      <w:r>
        <w:rPr>
          <w:rFonts w:ascii="Tahoma" w:hAnsi="Tahoma" w:cs="Tahoma"/>
          <w:sz w:val="20"/>
          <w:szCs w:val="20"/>
          <w:lang w:val="en-US"/>
        </w:rPr>
        <w:t>24 měsíců.</w:t>
      </w:r>
    </w:p>
    <w:p w14:paraId="093D503C" w14:textId="4926AB17" w:rsidR="00080C6C" w:rsidRPr="00167387" w:rsidRDefault="00080C6C" w:rsidP="00585E10">
      <w:pPr>
        <w:keepLines/>
        <w:spacing w:before="12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080C6C" w:rsidRPr="00167387" w:rsidSect="00FC4E09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5F7C" w14:textId="77777777" w:rsidR="009C720A" w:rsidRDefault="009C720A">
      <w:pPr>
        <w:spacing w:after="0" w:line="240" w:lineRule="auto"/>
      </w:pPr>
      <w:r>
        <w:separator/>
      </w:r>
    </w:p>
  </w:endnote>
  <w:endnote w:type="continuationSeparator" w:id="0">
    <w:p w14:paraId="4D6C4928" w14:textId="77777777" w:rsidR="009C720A" w:rsidRDefault="009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8947" w14:textId="3327EF66" w:rsidR="00FC4E09" w:rsidRPr="00986CC6" w:rsidRDefault="00FC4E09" w:rsidP="00FC4E09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8E2CAE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8E2CAE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7FC3" w14:textId="77777777" w:rsidR="009C720A" w:rsidRDefault="009C720A">
      <w:pPr>
        <w:spacing w:after="0" w:line="240" w:lineRule="auto"/>
      </w:pPr>
      <w:r>
        <w:separator/>
      </w:r>
    </w:p>
  </w:footnote>
  <w:footnote w:type="continuationSeparator" w:id="0">
    <w:p w14:paraId="47A68C89" w14:textId="77777777" w:rsidR="009C720A" w:rsidRDefault="009C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1B47" w14:textId="77777777" w:rsidR="00FC4E09" w:rsidRPr="008A0FC2" w:rsidRDefault="00FC4E09" w:rsidP="00FC4E09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C4C2" w14:textId="77777777" w:rsidR="00FC4E09" w:rsidRDefault="00FC4E09" w:rsidP="00FC4E09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7A9D"/>
    <w:multiLevelType w:val="hybridMultilevel"/>
    <w:tmpl w:val="5C885EAE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4"/>
    <w:rsid w:val="00030E40"/>
    <w:rsid w:val="00041312"/>
    <w:rsid w:val="000549B5"/>
    <w:rsid w:val="00057B4D"/>
    <w:rsid w:val="00080C6C"/>
    <w:rsid w:val="000C650A"/>
    <w:rsid w:val="000F32ED"/>
    <w:rsid w:val="001164D2"/>
    <w:rsid w:val="00167387"/>
    <w:rsid w:val="00180B35"/>
    <w:rsid w:val="001A7747"/>
    <w:rsid w:val="001B4373"/>
    <w:rsid w:val="001D27E5"/>
    <w:rsid w:val="002A47D4"/>
    <w:rsid w:val="00304482"/>
    <w:rsid w:val="00315BE9"/>
    <w:rsid w:val="003901CE"/>
    <w:rsid w:val="003F6F99"/>
    <w:rsid w:val="00403328"/>
    <w:rsid w:val="00412339"/>
    <w:rsid w:val="004344E8"/>
    <w:rsid w:val="00461292"/>
    <w:rsid w:val="004A3AD9"/>
    <w:rsid w:val="00585E10"/>
    <w:rsid w:val="005A6273"/>
    <w:rsid w:val="005C10A4"/>
    <w:rsid w:val="005C6D7F"/>
    <w:rsid w:val="005E687D"/>
    <w:rsid w:val="00656D22"/>
    <w:rsid w:val="00671E7D"/>
    <w:rsid w:val="006839D4"/>
    <w:rsid w:val="006A5754"/>
    <w:rsid w:val="006D6730"/>
    <w:rsid w:val="00717A36"/>
    <w:rsid w:val="00732093"/>
    <w:rsid w:val="007547DB"/>
    <w:rsid w:val="00784784"/>
    <w:rsid w:val="008015B6"/>
    <w:rsid w:val="00833153"/>
    <w:rsid w:val="00844052"/>
    <w:rsid w:val="00872078"/>
    <w:rsid w:val="008A5C09"/>
    <w:rsid w:val="008C377C"/>
    <w:rsid w:val="008E2CAE"/>
    <w:rsid w:val="008E452B"/>
    <w:rsid w:val="0090484F"/>
    <w:rsid w:val="00932419"/>
    <w:rsid w:val="009A05C5"/>
    <w:rsid w:val="009C720A"/>
    <w:rsid w:val="00A12393"/>
    <w:rsid w:val="00A15CA8"/>
    <w:rsid w:val="00A254F7"/>
    <w:rsid w:val="00AB316E"/>
    <w:rsid w:val="00AF6E93"/>
    <w:rsid w:val="00B05A17"/>
    <w:rsid w:val="00B14874"/>
    <w:rsid w:val="00B4609C"/>
    <w:rsid w:val="00B55E4A"/>
    <w:rsid w:val="00BC0C15"/>
    <w:rsid w:val="00C835BB"/>
    <w:rsid w:val="00CD191B"/>
    <w:rsid w:val="00CE7325"/>
    <w:rsid w:val="00CF4734"/>
    <w:rsid w:val="00D02825"/>
    <w:rsid w:val="00D862BA"/>
    <w:rsid w:val="00E22C5E"/>
    <w:rsid w:val="00E66F73"/>
    <w:rsid w:val="00EB0365"/>
    <w:rsid w:val="00EB1B0D"/>
    <w:rsid w:val="00EB24B4"/>
    <w:rsid w:val="00EB3A63"/>
    <w:rsid w:val="00EF6EB3"/>
    <w:rsid w:val="00F12B43"/>
    <w:rsid w:val="00F70625"/>
    <w:rsid w:val="00F73DEE"/>
    <w:rsid w:val="00F7550D"/>
    <w:rsid w:val="00FC30B4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30C"/>
  <w15:docId w15:val="{77698D6D-A950-4DF7-AC6C-8BD6A9F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74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4874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4874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487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B14874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B14874"/>
  </w:style>
  <w:style w:type="paragraph" w:styleId="Odstavecseseznamem">
    <w:name w:val="List Paragraph"/>
    <w:basedOn w:val="Normln"/>
    <w:uiPriority w:val="34"/>
    <w:qFormat/>
    <w:rsid w:val="00B148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8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874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7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387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oza77</dc:creator>
  <cp:lastModifiedBy>jil014</cp:lastModifiedBy>
  <cp:revision>3</cp:revision>
  <dcterms:created xsi:type="dcterms:W3CDTF">2018-09-20T07:41:00Z</dcterms:created>
  <dcterms:modified xsi:type="dcterms:W3CDTF">2018-09-20T07:44:00Z</dcterms:modified>
</cp:coreProperties>
</file>