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787" w:rsidRPr="008B565F" w:rsidRDefault="00C93E90" w:rsidP="00911787">
      <w:pPr>
        <w:jc w:val="left"/>
        <w:rPr>
          <w:caps/>
        </w:rPr>
      </w:pPr>
      <w:r>
        <w:rPr>
          <w:caps/>
          <w:noProof/>
          <w:sz w:val="40"/>
        </w:rPr>
        <w:drawing>
          <wp:inline distT="0" distB="0" distL="0" distR="0">
            <wp:extent cx="1685925" cy="4762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1787" w:rsidRPr="008B565F">
        <w:rPr>
          <w:caps/>
          <w:sz w:val="40"/>
        </w:rPr>
        <w:tab/>
      </w:r>
      <w:r w:rsidR="00911787" w:rsidRPr="008B565F">
        <w:rPr>
          <w:caps/>
          <w:sz w:val="40"/>
        </w:rPr>
        <w:tab/>
      </w:r>
      <w:r w:rsidR="0036254B">
        <w:rPr>
          <w:caps/>
          <w:sz w:val="40"/>
        </w:rPr>
        <w:t xml:space="preserve">  </w:t>
      </w:r>
      <w:r w:rsidR="00911787" w:rsidRPr="008B565F">
        <w:t>s.r.o.</w:t>
      </w:r>
    </w:p>
    <w:p w:rsidR="00911787" w:rsidRPr="008B565F" w:rsidRDefault="00911787" w:rsidP="00911787">
      <w:pPr>
        <w:jc w:val="left"/>
        <w:rPr>
          <w:caps/>
        </w:rPr>
      </w:pPr>
      <w:r w:rsidRPr="008B565F">
        <w:rPr>
          <w:caps/>
        </w:rPr>
        <w:t>PRŮZKUMY * ZAMĚŘENÍ * PROJEKTY</w:t>
      </w:r>
    </w:p>
    <w:p w:rsidR="00911787" w:rsidRPr="008B565F" w:rsidRDefault="0036254B" w:rsidP="00911787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  <w:proofErr w:type="gramStart"/>
      <w:r>
        <w:rPr>
          <w:szCs w:val="20"/>
        </w:rPr>
        <w:t>ul.  28</w:t>
      </w:r>
      <w:proofErr w:type="gramEnd"/>
      <w:r>
        <w:rPr>
          <w:szCs w:val="20"/>
        </w:rPr>
        <w:t>. října 66/201</w:t>
      </w:r>
    </w:p>
    <w:p w:rsidR="00911787" w:rsidRPr="008B565F" w:rsidRDefault="00911787" w:rsidP="00911787">
      <w:pPr>
        <w:jc w:val="left"/>
        <w:rPr>
          <w:b/>
          <w:caps/>
        </w:rPr>
      </w:pPr>
      <w:r w:rsidRPr="008B565F">
        <w:rPr>
          <w:b/>
          <w:caps/>
        </w:rPr>
        <w:t>709 00 Ostrava-Mariánské Hory</w:t>
      </w:r>
    </w:p>
    <w:p w:rsidR="00911787" w:rsidRPr="008B565F" w:rsidRDefault="00911787" w:rsidP="00911787">
      <w:pPr>
        <w:jc w:val="left"/>
        <w:rPr>
          <w:b/>
          <w:caps/>
        </w:rPr>
      </w:pPr>
    </w:p>
    <w:p w:rsidR="00911787" w:rsidRPr="008B565F" w:rsidRDefault="00911787" w:rsidP="00911787">
      <w:pPr>
        <w:jc w:val="left"/>
        <w:rPr>
          <w:b/>
          <w:caps/>
        </w:rPr>
      </w:pPr>
    </w:p>
    <w:p w:rsidR="00911787" w:rsidRPr="008B565F" w:rsidRDefault="00911787" w:rsidP="00911787">
      <w:pPr>
        <w:jc w:val="left"/>
        <w:rPr>
          <w:caps/>
        </w:rPr>
      </w:pPr>
    </w:p>
    <w:p w:rsidR="00911787" w:rsidRPr="008B565F" w:rsidRDefault="00911787" w:rsidP="00911787">
      <w:pPr>
        <w:jc w:val="left"/>
        <w:rPr>
          <w:caps/>
        </w:rPr>
      </w:pPr>
    </w:p>
    <w:p w:rsidR="00417899" w:rsidRPr="008B565F" w:rsidRDefault="00417899" w:rsidP="00911787">
      <w:pPr>
        <w:jc w:val="left"/>
        <w:rPr>
          <w:caps/>
        </w:rPr>
      </w:pPr>
    </w:p>
    <w:p w:rsidR="00820001" w:rsidRPr="001B1C67" w:rsidRDefault="00C9356C" w:rsidP="00820001">
      <w:pPr>
        <w:spacing w:after="0"/>
        <w:ind w:left="1140"/>
        <w:rPr>
          <w:b/>
          <w:caps/>
          <w:sz w:val="52"/>
          <w:szCs w:val="52"/>
        </w:rPr>
      </w:pPr>
      <w:bookmarkStart w:id="0" w:name="_Toc310945676"/>
      <w:bookmarkStart w:id="1" w:name="_Toc329857943"/>
      <w:bookmarkStart w:id="2" w:name="_Toc350509201"/>
      <w:r w:rsidRPr="00820001">
        <w:rPr>
          <w:b/>
          <w:caps/>
          <w:sz w:val="52"/>
          <w:szCs w:val="52"/>
        </w:rPr>
        <w:t>d.</w:t>
      </w:r>
      <w:r w:rsidR="00820001" w:rsidRPr="00820001">
        <w:rPr>
          <w:b/>
          <w:caps/>
          <w:sz w:val="52"/>
          <w:szCs w:val="52"/>
        </w:rPr>
        <w:t>1</w:t>
      </w:r>
      <w:r w:rsidR="00820001" w:rsidRPr="00820001">
        <w:rPr>
          <w:b/>
          <w:sz w:val="52"/>
          <w:szCs w:val="52"/>
        </w:rPr>
        <w:t>a</w:t>
      </w:r>
      <w:r w:rsidR="00820001" w:rsidRPr="00820001">
        <w:rPr>
          <w:b/>
          <w:caps/>
          <w:sz w:val="52"/>
          <w:szCs w:val="52"/>
        </w:rPr>
        <w:t xml:space="preserve"> </w:t>
      </w:r>
      <w:r w:rsidR="00820001">
        <w:rPr>
          <w:b/>
          <w:caps/>
          <w:sz w:val="52"/>
          <w:szCs w:val="52"/>
        </w:rPr>
        <w:t xml:space="preserve">TECHNICKÁ </w:t>
      </w:r>
      <w:r w:rsidR="00820001" w:rsidRPr="001B1C67">
        <w:rPr>
          <w:b/>
          <w:caps/>
          <w:sz w:val="52"/>
          <w:szCs w:val="52"/>
        </w:rPr>
        <w:t>zpráva</w:t>
      </w:r>
    </w:p>
    <w:p w:rsidR="00820001" w:rsidRPr="001B1C67" w:rsidRDefault="00820001" w:rsidP="00820001">
      <w:pPr>
        <w:jc w:val="center"/>
        <w:rPr>
          <w:spacing w:val="180"/>
          <w:sz w:val="40"/>
          <w:szCs w:val="40"/>
          <w:u w:val="single"/>
        </w:rPr>
      </w:pPr>
    </w:p>
    <w:p w:rsidR="00820001" w:rsidRDefault="00820001" w:rsidP="00820001">
      <w:pPr>
        <w:jc w:val="center"/>
        <w:rPr>
          <w:rFonts w:ascii="Times New Roman tučné" w:hAnsi="Times New Roman tučné" w:hint="eastAsia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REKONSTRUKCE PŘEDÁVACÍ STANICE V BUDOVĚ „STARÁ MENZA“</w:t>
      </w:r>
    </w:p>
    <w:p w:rsidR="00820001" w:rsidRDefault="00820001" w:rsidP="00820001">
      <w:pPr>
        <w:jc w:val="center"/>
        <w:rPr>
          <w:rFonts w:ascii="Times New Roman tučné" w:hAnsi="Times New Roman tučné" w:hint="eastAsia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VŠB – TU OSTRAVA</w:t>
      </w:r>
    </w:p>
    <w:p w:rsidR="003E44B9" w:rsidRDefault="003E44B9" w:rsidP="00820001">
      <w:pPr>
        <w:jc w:val="center"/>
        <w:rPr>
          <w:rFonts w:ascii="Times New Roman tučné" w:hAnsi="Times New Roman tučné" w:hint="eastAsia"/>
          <w:sz w:val="40"/>
          <w:szCs w:val="40"/>
        </w:rPr>
      </w:pPr>
    </w:p>
    <w:p w:rsidR="003E44B9" w:rsidRPr="000464F8" w:rsidRDefault="003E44B9" w:rsidP="00820001">
      <w:pPr>
        <w:jc w:val="center"/>
        <w:rPr>
          <w:b/>
          <w:caps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SO-0</w:t>
      </w:r>
      <w:r w:rsidR="006D1444">
        <w:rPr>
          <w:rFonts w:ascii="Times New Roman tučné" w:hAnsi="Times New Roman tučné"/>
          <w:sz w:val="40"/>
          <w:szCs w:val="40"/>
        </w:rPr>
        <w:t>1</w:t>
      </w:r>
      <w:r>
        <w:rPr>
          <w:rFonts w:ascii="Times New Roman tučné" w:hAnsi="Times New Roman tučné"/>
          <w:sz w:val="40"/>
          <w:szCs w:val="40"/>
        </w:rPr>
        <w:t xml:space="preserve"> PŘEDÁVACÍ STANICE V BUDOVĚ „</w:t>
      </w:r>
      <w:r w:rsidR="006D1444">
        <w:rPr>
          <w:rFonts w:ascii="Times New Roman tučné" w:hAnsi="Times New Roman tučné"/>
          <w:sz w:val="40"/>
          <w:szCs w:val="40"/>
        </w:rPr>
        <w:t>T</w:t>
      </w:r>
      <w:r>
        <w:rPr>
          <w:rFonts w:ascii="Times New Roman tučné" w:hAnsi="Times New Roman tučné"/>
          <w:sz w:val="40"/>
          <w:szCs w:val="40"/>
        </w:rPr>
        <w:t>“</w:t>
      </w:r>
    </w:p>
    <w:p w:rsidR="00820001" w:rsidRPr="001B1C67" w:rsidRDefault="00820001" w:rsidP="00820001">
      <w:pPr>
        <w:jc w:val="center"/>
        <w:rPr>
          <w:b/>
          <w:caps/>
          <w:sz w:val="32"/>
          <w:szCs w:val="32"/>
        </w:rPr>
      </w:pPr>
    </w:p>
    <w:p w:rsidR="00A521D1" w:rsidRPr="00832DAB" w:rsidRDefault="00A521D1" w:rsidP="00A521D1">
      <w:pPr>
        <w:spacing w:line="252" w:lineRule="auto"/>
        <w:jc w:val="center"/>
        <w:rPr>
          <w:rFonts w:ascii="Times New Roman tučné" w:hAnsi="Times New Roman tučné"/>
          <w:b/>
          <w:caps/>
        </w:rPr>
      </w:pPr>
      <w:r w:rsidRPr="00832DAB">
        <w:rPr>
          <w:rFonts w:ascii="Times New Roman tučné" w:hAnsi="Times New Roman tučné"/>
          <w:b/>
          <w:caps/>
        </w:rPr>
        <w:t>DOKUMENTACE</w:t>
      </w:r>
      <w:r>
        <w:rPr>
          <w:rFonts w:ascii="Times New Roman tučné" w:hAnsi="Times New Roman tučné"/>
          <w:b/>
          <w:caps/>
        </w:rPr>
        <w:t xml:space="preserve"> STAVBY</w:t>
      </w:r>
      <w:r w:rsidRPr="00832DAB">
        <w:rPr>
          <w:rFonts w:ascii="Times New Roman tučné" w:hAnsi="Times New Roman tučné"/>
          <w:b/>
          <w:caps/>
        </w:rPr>
        <w:t xml:space="preserve"> </w:t>
      </w:r>
      <w:r>
        <w:rPr>
          <w:rFonts w:ascii="Times New Roman tučné" w:hAnsi="Times New Roman tučné"/>
          <w:b/>
          <w:caps/>
        </w:rPr>
        <w:t>JEDNOSTUPŇOVÁ</w:t>
      </w:r>
    </w:p>
    <w:p w:rsidR="00820001" w:rsidRPr="001B1C67" w:rsidRDefault="00A521D1" w:rsidP="00A521D1">
      <w:pPr>
        <w:jc w:val="center"/>
        <w:rPr>
          <w:b/>
          <w:sz w:val="32"/>
          <w:szCs w:val="32"/>
        </w:rPr>
      </w:pPr>
      <w:r w:rsidRPr="00832DAB">
        <w:rPr>
          <w:rFonts w:ascii="Times New Roman tučné" w:hAnsi="Times New Roman tučné"/>
          <w:b/>
          <w:caps/>
        </w:rPr>
        <w:t xml:space="preserve"> </w:t>
      </w:r>
      <w:r w:rsidR="00820001" w:rsidRPr="00832DAB">
        <w:rPr>
          <w:rFonts w:ascii="Times New Roman tučné" w:hAnsi="Times New Roman tučné"/>
          <w:b/>
          <w:caps/>
        </w:rPr>
        <w:t>(D</w:t>
      </w:r>
      <w:r w:rsidR="00820001">
        <w:rPr>
          <w:rFonts w:ascii="Times New Roman tučné" w:hAnsi="Times New Roman tučné"/>
          <w:b/>
          <w:caps/>
        </w:rPr>
        <w:t>SJ</w:t>
      </w:r>
      <w:r w:rsidR="00820001" w:rsidRPr="00832DAB">
        <w:rPr>
          <w:rFonts w:ascii="Times New Roman tučné" w:hAnsi="Times New Roman tučné"/>
          <w:b/>
          <w:caps/>
        </w:rPr>
        <w:t>)</w:t>
      </w:r>
    </w:p>
    <w:p w:rsidR="00820001" w:rsidRPr="009F2281" w:rsidRDefault="00820001" w:rsidP="00820001">
      <w:pPr>
        <w:jc w:val="center"/>
        <w:rPr>
          <w:b/>
          <w:caps/>
          <w:sz w:val="32"/>
          <w:szCs w:val="32"/>
        </w:rPr>
      </w:pPr>
    </w:p>
    <w:p w:rsidR="00820001" w:rsidRPr="002A5EB7" w:rsidRDefault="00820001" w:rsidP="00820001">
      <w:pPr>
        <w:jc w:val="center"/>
        <w:rPr>
          <w:b/>
          <w:caps/>
          <w:sz w:val="32"/>
          <w:szCs w:val="32"/>
        </w:rPr>
      </w:pPr>
    </w:p>
    <w:p w:rsidR="00820001" w:rsidRPr="002A5EB7" w:rsidRDefault="00820001" w:rsidP="00820001">
      <w:pPr>
        <w:tabs>
          <w:tab w:val="left" w:pos="2694"/>
        </w:tabs>
        <w:ind w:left="2694" w:hanging="2694"/>
        <w:jc w:val="left"/>
      </w:pPr>
      <w:r w:rsidRPr="002A5EB7">
        <w:rPr>
          <w:szCs w:val="20"/>
        </w:rPr>
        <w:t>Stavebník:</w:t>
      </w:r>
      <w:r w:rsidRPr="002A5EB7">
        <w:rPr>
          <w:szCs w:val="20"/>
        </w:rPr>
        <w:tab/>
      </w:r>
      <w:r w:rsidRPr="002A5EB7">
        <w:rPr>
          <w:b/>
        </w:rPr>
        <w:t>VŠB-TU Ostrava</w:t>
      </w:r>
      <w:r w:rsidRPr="002A5EB7">
        <w:br/>
        <w:t>17. Listopadu 2172/15</w:t>
      </w:r>
    </w:p>
    <w:p w:rsidR="00820001" w:rsidRPr="002A5EB7" w:rsidRDefault="00820001" w:rsidP="00820001">
      <w:pPr>
        <w:tabs>
          <w:tab w:val="left" w:pos="2694"/>
        </w:tabs>
        <w:ind w:left="2694" w:hanging="2694"/>
        <w:jc w:val="left"/>
        <w:rPr>
          <w:szCs w:val="22"/>
        </w:rPr>
      </w:pPr>
      <w:r w:rsidRPr="002A5EB7">
        <w:tab/>
        <w:t>708 00 Ostrava</w:t>
      </w:r>
    </w:p>
    <w:p w:rsidR="00820001" w:rsidRPr="002A5EB7" w:rsidRDefault="00820001" w:rsidP="00820001">
      <w:pPr>
        <w:ind w:left="1410" w:hanging="1410"/>
        <w:jc w:val="left"/>
        <w:rPr>
          <w:szCs w:val="20"/>
        </w:rPr>
      </w:pPr>
    </w:p>
    <w:p w:rsidR="00820001" w:rsidRPr="002A5EB7" w:rsidRDefault="00820001" w:rsidP="00820001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Zpracovatel:</w:t>
      </w:r>
      <w:r w:rsidRPr="002A5EB7">
        <w:rPr>
          <w:szCs w:val="20"/>
        </w:rPr>
        <w:tab/>
      </w:r>
      <w:r w:rsidRPr="002A5EB7">
        <w:rPr>
          <w:b/>
          <w:szCs w:val="20"/>
        </w:rPr>
        <w:t>MARPO s.r.o.</w:t>
      </w:r>
      <w:r w:rsidRPr="002A5EB7">
        <w:rPr>
          <w:szCs w:val="20"/>
        </w:rPr>
        <w:t xml:space="preserve">, </w:t>
      </w:r>
      <w:proofErr w:type="gramStart"/>
      <w:r w:rsidRPr="002A5EB7">
        <w:rPr>
          <w:szCs w:val="20"/>
        </w:rPr>
        <w:t>28.října</w:t>
      </w:r>
      <w:proofErr w:type="gramEnd"/>
      <w:r w:rsidRPr="002A5EB7">
        <w:rPr>
          <w:szCs w:val="20"/>
        </w:rPr>
        <w:t xml:space="preserve"> 66/201, 709 00 Ostrava – Mariánské Hory</w:t>
      </w:r>
    </w:p>
    <w:p w:rsidR="00820001" w:rsidRPr="002A5EB7" w:rsidRDefault="00820001" w:rsidP="00820001">
      <w:pPr>
        <w:jc w:val="center"/>
        <w:rPr>
          <w:szCs w:val="20"/>
        </w:rPr>
      </w:pPr>
    </w:p>
    <w:p w:rsidR="00820001" w:rsidRDefault="00820001" w:rsidP="00820001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Vedoucí projektant:</w:t>
      </w:r>
      <w:r w:rsidRPr="002A5EB7">
        <w:rPr>
          <w:szCs w:val="20"/>
        </w:rPr>
        <w:tab/>
      </w:r>
      <w:proofErr w:type="spellStart"/>
      <w:proofErr w:type="gramStart"/>
      <w:r w:rsidRPr="002A5EB7">
        <w:rPr>
          <w:szCs w:val="20"/>
        </w:rPr>
        <w:t>Ing.Arch</w:t>
      </w:r>
      <w:proofErr w:type="spellEnd"/>
      <w:r w:rsidRPr="002A5EB7">
        <w:rPr>
          <w:szCs w:val="20"/>
        </w:rPr>
        <w:t>.</w:t>
      </w:r>
      <w:proofErr w:type="gramEnd"/>
      <w:r w:rsidRPr="002A5EB7">
        <w:rPr>
          <w:szCs w:val="20"/>
        </w:rPr>
        <w:t xml:space="preserve"> Jiří Bobek</w:t>
      </w:r>
    </w:p>
    <w:p w:rsidR="00820001" w:rsidRPr="002A5EB7" w:rsidRDefault="00820001" w:rsidP="00820001">
      <w:pPr>
        <w:tabs>
          <w:tab w:val="left" w:pos="2694"/>
        </w:tabs>
        <w:jc w:val="left"/>
        <w:rPr>
          <w:szCs w:val="20"/>
        </w:rPr>
      </w:pPr>
    </w:p>
    <w:p w:rsidR="00820001" w:rsidRDefault="00820001" w:rsidP="00820001">
      <w:pPr>
        <w:jc w:val="left"/>
        <w:rPr>
          <w:szCs w:val="20"/>
        </w:rPr>
      </w:pPr>
    </w:p>
    <w:p w:rsidR="00820001" w:rsidRPr="002A5EB7" w:rsidRDefault="00820001" w:rsidP="00820001">
      <w:pPr>
        <w:jc w:val="left"/>
        <w:rPr>
          <w:szCs w:val="20"/>
        </w:rPr>
      </w:pPr>
    </w:p>
    <w:p w:rsidR="00820001" w:rsidRPr="002A5EB7" w:rsidRDefault="00820001" w:rsidP="00820001">
      <w:pPr>
        <w:tabs>
          <w:tab w:val="right" w:pos="8789"/>
        </w:tabs>
        <w:rPr>
          <w:b/>
          <w:szCs w:val="20"/>
        </w:rPr>
      </w:pPr>
      <w:proofErr w:type="gramStart"/>
      <w:r w:rsidRPr="002A5EB7">
        <w:t>Zak</w:t>
      </w:r>
      <w:proofErr w:type="gramEnd"/>
      <w:r w:rsidRPr="002A5EB7">
        <w:t>.</w:t>
      </w:r>
      <w:proofErr w:type="gramStart"/>
      <w:r w:rsidRPr="002A5EB7">
        <w:t>č.</w:t>
      </w:r>
      <w:proofErr w:type="gramEnd"/>
      <w:r w:rsidRPr="002A5EB7">
        <w:t>:</w:t>
      </w:r>
      <w:r w:rsidRPr="002A5EB7">
        <w:rPr>
          <w:b/>
          <w:bCs/>
        </w:rPr>
        <w:t>32</w:t>
      </w:r>
      <w:r>
        <w:rPr>
          <w:b/>
          <w:bCs/>
        </w:rPr>
        <w:t>67</w:t>
      </w:r>
      <w:r w:rsidRPr="002A5EB7">
        <w:rPr>
          <w:szCs w:val="20"/>
        </w:rPr>
        <w:tab/>
        <w:t xml:space="preserve">Exp.: </w:t>
      </w:r>
      <w:r>
        <w:rPr>
          <w:b/>
          <w:szCs w:val="20"/>
        </w:rPr>
        <w:t>12</w:t>
      </w:r>
      <w:r w:rsidRPr="002A5EB7">
        <w:rPr>
          <w:b/>
          <w:szCs w:val="20"/>
        </w:rPr>
        <w:t>/2017</w:t>
      </w:r>
    </w:p>
    <w:p w:rsidR="00C9356C" w:rsidRDefault="00C9356C" w:rsidP="00820001">
      <w:pPr>
        <w:jc w:val="center"/>
        <w:rPr>
          <w:rFonts w:eastAsia="Times New Roman"/>
          <w:b/>
          <w:sz w:val="28"/>
          <w:szCs w:val="28"/>
        </w:rPr>
      </w:pPr>
    </w:p>
    <w:p w:rsidR="00EA6A49" w:rsidRPr="002D0283" w:rsidRDefault="00EA6A49" w:rsidP="00436CD3">
      <w:pPr>
        <w:rPr>
          <w:rFonts w:eastAsia="Times New Roman"/>
          <w:b/>
          <w:sz w:val="28"/>
          <w:szCs w:val="28"/>
        </w:rPr>
      </w:pPr>
      <w:r w:rsidRPr="002D0283">
        <w:rPr>
          <w:rFonts w:eastAsia="Times New Roman"/>
          <w:b/>
          <w:sz w:val="28"/>
          <w:szCs w:val="28"/>
        </w:rPr>
        <w:t>OBSAH:</w:t>
      </w:r>
      <w:bookmarkEnd w:id="0"/>
      <w:bookmarkEnd w:id="1"/>
      <w:bookmarkEnd w:id="2"/>
    </w:p>
    <w:p w:rsidR="0020793F" w:rsidRPr="008E6DA1" w:rsidRDefault="0020793F" w:rsidP="00436CD3"/>
    <w:bookmarkStart w:id="3" w:name="OLE_LINK3"/>
    <w:p w:rsidR="00DA744C" w:rsidRDefault="00301ADB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r w:rsidRPr="00301ADB">
        <w:rPr>
          <w:rStyle w:val="Hypertextovodkaz"/>
          <w:iCs w:val="0"/>
          <w:caps/>
          <w:color w:val="auto"/>
        </w:rPr>
        <w:fldChar w:fldCharType="begin"/>
      </w:r>
      <w:r w:rsidR="002B546D">
        <w:rPr>
          <w:rStyle w:val="Hypertextovodkaz"/>
          <w:iCs w:val="0"/>
          <w:caps/>
          <w:color w:val="auto"/>
        </w:rPr>
        <w:instrText xml:space="preserve"> TOC \o "1-4" \h \z \u </w:instrText>
      </w:r>
      <w:r w:rsidRPr="00301ADB">
        <w:rPr>
          <w:rStyle w:val="Hypertextovodkaz"/>
          <w:iCs w:val="0"/>
          <w:caps/>
          <w:color w:val="auto"/>
        </w:rPr>
        <w:fldChar w:fldCharType="separate"/>
      </w:r>
      <w:hyperlink w:anchor="_Toc501002426" w:history="1">
        <w:r w:rsidR="00DA744C" w:rsidRPr="00E91908">
          <w:rPr>
            <w:rStyle w:val="Hypertextovodkaz"/>
          </w:rPr>
          <w:t>D. TECHNICKÁ ZPRÁVA</w:t>
        </w:r>
        <w:r w:rsidR="00DA744C">
          <w:rPr>
            <w:webHidden/>
          </w:rPr>
          <w:tab/>
        </w:r>
        <w:r w:rsidR="00DA744C">
          <w:rPr>
            <w:webHidden/>
          </w:rPr>
          <w:fldChar w:fldCharType="begin"/>
        </w:r>
        <w:r w:rsidR="00DA744C">
          <w:rPr>
            <w:webHidden/>
          </w:rPr>
          <w:instrText xml:space="preserve"> PAGEREF _Toc501002426 \h </w:instrText>
        </w:r>
        <w:r w:rsidR="00DA744C">
          <w:rPr>
            <w:webHidden/>
          </w:rPr>
        </w:r>
        <w:r w:rsidR="00DA744C">
          <w:rPr>
            <w:webHidden/>
          </w:rPr>
          <w:fldChar w:fldCharType="separate"/>
        </w:r>
        <w:r w:rsidR="00DA744C">
          <w:rPr>
            <w:webHidden/>
          </w:rPr>
          <w:t>2</w:t>
        </w:r>
        <w:r w:rsidR="00DA744C">
          <w:rPr>
            <w:webHidden/>
          </w:rPr>
          <w:fldChar w:fldCharType="end"/>
        </w:r>
      </w:hyperlink>
    </w:p>
    <w:p w:rsidR="00DA744C" w:rsidRDefault="00DA744C">
      <w:pPr>
        <w:pStyle w:val="Obsah2"/>
        <w:tabs>
          <w:tab w:val="left" w:pos="88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1002427" w:history="1">
        <w:r w:rsidRPr="00E91908">
          <w:rPr>
            <w:rStyle w:val="Hypertextovodkaz"/>
            <w:noProof/>
          </w:rPr>
          <w:t>D.1)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ARCHITEKT. VÝTVARNÉ, MATERIÁLOVÉ, DISPOZIČNÍ A PROVOZNÍ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28" w:history="1">
        <w:r w:rsidRPr="00E91908">
          <w:rPr>
            <w:rStyle w:val="Hypertextovodkaz"/>
            <w:noProof/>
          </w:rPr>
          <w:t xml:space="preserve">D.1.a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Architektonické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29" w:history="1">
        <w:r w:rsidRPr="00E91908">
          <w:rPr>
            <w:rStyle w:val="Hypertextovodkaz"/>
            <w:noProof/>
          </w:rPr>
          <w:t xml:space="preserve">D.1.b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Výtvarné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30" w:history="1">
        <w:r w:rsidRPr="00E91908">
          <w:rPr>
            <w:rStyle w:val="Hypertextovodkaz"/>
            <w:noProof/>
          </w:rPr>
          <w:t xml:space="preserve">D.1.c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Materiálové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31" w:history="1">
        <w:r w:rsidRPr="00E91908">
          <w:rPr>
            <w:rStyle w:val="Hypertextovodkaz"/>
            <w:noProof/>
          </w:rPr>
          <w:t xml:space="preserve">D.1.d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Dispoziční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32" w:history="1">
        <w:r w:rsidRPr="00E91908">
          <w:rPr>
            <w:rStyle w:val="Hypertextovodkaz"/>
            <w:noProof/>
          </w:rPr>
          <w:t xml:space="preserve">D.1.e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Provozní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2"/>
        <w:tabs>
          <w:tab w:val="left" w:pos="88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1002433" w:history="1">
        <w:r w:rsidRPr="00E91908">
          <w:rPr>
            <w:rStyle w:val="Hypertextovodkaz"/>
            <w:noProof/>
          </w:rPr>
          <w:t>D.2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BEZBARiÉROVÉ UŽÍVÁNÍ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2"/>
        <w:tabs>
          <w:tab w:val="left" w:pos="88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1002434" w:history="1">
        <w:r w:rsidRPr="00E91908">
          <w:rPr>
            <w:rStyle w:val="Hypertextovodkaz"/>
            <w:noProof/>
          </w:rPr>
          <w:t>D.3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KONSTRUKČNÍ A STAVEBNĚ 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35" w:history="1">
        <w:r w:rsidRPr="00E91908">
          <w:rPr>
            <w:rStyle w:val="Hypertextovodkaz"/>
            <w:noProof/>
          </w:rPr>
          <w:t xml:space="preserve">D.3.a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Bourací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36" w:history="1">
        <w:r w:rsidRPr="00E91908">
          <w:rPr>
            <w:rStyle w:val="Hypertextovodkaz"/>
            <w:noProof/>
          </w:rPr>
          <w:t xml:space="preserve">D.3.b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Výkopové práce: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37" w:history="1">
        <w:r w:rsidRPr="00E91908">
          <w:rPr>
            <w:rStyle w:val="Hypertextovodkaz"/>
            <w:noProof/>
          </w:rPr>
          <w:t xml:space="preserve">D.3.c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Základové konstrukce: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38" w:history="1">
        <w:r w:rsidRPr="00E91908">
          <w:rPr>
            <w:rStyle w:val="Hypertextovodkaz"/>
            <w:noProof/>
          </w:rPr>
          <w:t xml:space="preserve">D.3.f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Úprava povrchů vnitřních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39" w:history="1">
        <w:r w:rsidRPr="00E91908">
          <w:rPr>
            <w:rStyle w:val="Hypertextovodkaz"/>
            <w:noProof/>
          </w:rPr>
          <w:t xml:space="preserve">D.3.g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Podlahy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40" w:history="1">
        <w:r w:rsidRPr="00E91908">
          <w:rPr>
            <w:rStyle w:val="Hypertextovodkaz"/>
            <w:noProof/>
          </w:rPr>
          <w:t xml:space="preserve">D.3.n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Zámečnické výrobky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41" w:history="1">
        <w:r w:rsidRPr="00E91908">
          <w:rPr>
            <w:rStyle w:val="Hypertextovodkaz"/>
            <w:noProof/>
          </w:rPr>
          <w:t xml:space="preserve">D.3.s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Ostatní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2"/>
        <w:tabs>
          <w:tab w:val="left" w:pos="88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1002442" w:history="1">
        <w:r w:rsidRPr="00E91908">
          <w:rPr>
            <w:rStyle w:val="Hypertextovodkaz"/>
            <w:noProof/>
          </w:rPr>
          <w:t>D.4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TECHNICKÉ VLASTNOS</w:t>
        </w:r>
        <w:r w:rsidRPr="00E91908">
          <w:rPr>
            <w:rStyle w:val="Hypertextovodkaz"/>
            <w:noProof/>
          </w:rPr>
          <w:t>T</w:t>
        </w:r>
        <w:r w:rsidRPr="00E91908">
          <w:rPr>
            <w:rStyle w:val="Hypertextovodkaz"/>
            <w:noProof/>
          </w:rPr>
          <w:t>I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43" w:history="1">
        <w:r w:rsidRPr="00E91908">
          <w:rPr>
            <w:rStyle w:val="Hypertextovodkaz"/>
            <w:noProof/>
          </w:rPr>
          <w:t xml:space="preserve">D.4.a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91908">
          <w:rPr>
            <w:rStyle w:val="Hypertextovodkaz"/>
            <w:noProof/>
          </w:rPr>
          <w:t>Stavební fyzika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44" w:history="1">
        <w:r w:rsidRPr="00E91908">
          <w:rPr>
            <w:rStyle w:val="Hypertextovodkaz"/>
            <w:noProof/>
          </w:rPr>
          <w:t>D.4.a1 Tepelná technika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45" w:history="1">
        <w:r w:rsidRPr="00E91908">
          <w:rPr>
            <w:rStyle w:val="Hypertextovodkaz"/>
            <w:noProof/>
          </w:rPr>
          <w:t>D.4.a.2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46" w:history="1">
        <w:r w:rsidRPr="00E91908">
          <w:rPr>
            <w:rStyle w:val="Hypertextovodkaz"/>
            <w:noProof/>
          </w:rPr>
          <w:t>D.4.a.3 Oslunění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47" w:history="1">
        <w:r w:rsidRPr="00E91908">
          <w:rPr>
            <w:rStyle w:val="Hypertextovodkaz"/>
            <w:noProof/>
          </w:rPr>
          <w:t>D.4.a.4 Akustika – hluk, vibrace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A744C" w:rsidRDefault="00DA744C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002448" w:history="1">
        <w:r w:rsidRPr="00E91908">
          <w:rPr>
            <w:rStyle w:val="Hypertextovodkaz"/>
            <w:noProof/>
          </w:rPr>
          <w:t>D.4.a.5 Výpis použitých norem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_Toc501002448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34AAE" w:rsidRPr="00E809A0" w:rsidRDefault="00301ADB" w:rsidP="00D36059">
      <w:pPr>
        <w:pStyle w:val="Nadpis1"/>
        <w:tabs>
          <w:tab w:val="right" w:leader="dot" w:pos="8505"/>
        </w:tabs>
        <w:ind w:right="613"/>
        <w:jc w:val="left"/>
      </w:pPr>
      <w:r>
        <w:rPr>
          <w:rStyle w:val="Hypertextovodkaz"/>
          <w:rFonts w:ascii="Calibri" w:eastAsia="Calibri" w:hAnsi="Calibri" w:cs="Times New Roman"/>
          <w:iCs/>
          <w:caps w:val="0"/>
          <w:noProof/>
          <w:color w:val="auto"/>
          <w:kern w:val="0"/>
          <w:sz w:val="24"/>
          <w:szCs w:val="24"/>
          <w:lang w:eastAsia="en-US"/>
        </w:rPr>
        <w:fldChar w:fldCharType="end"/>
      </w:r>
      <w:r w:rsidR="00EA6A49" w:rsidRPr="00954037">
        <w:br w:type="page"/>
      </w:r>
      <w:bookmarkStart w:id="4" w:name="_Toc216762121"/>
      <w:bookmarkStart w:id="5" w:name="_Toc501002426"/>
      <w:r w:rsidR="00634AAE" w:rsidRPr="00E809A0">
        <w:lastRenderedPageBreak/>
        <w:t xml:space="preserve">D. </w:t>
      </w:r>
      <w:r w:rsidR="006A3097" w:rsidRPr="00E809A0">
        <w:t>TECHNICKÁ ZPRÁVA</w:t>
      </w:r>
      <w:bookmarkEnd w:id="5"/>
    </w:p>
    <w:p w:rsidR="00EA6A49" w:rsidRPr="00122901" w:rsidRDefault="00A458D9" w:rsidP="00436CD3">
      <w:pPr>
        <w:pStyle w:val="Nadpis2"/>
      </w:pPr>
      <w:bookmarkStart w:id="6" w:name="_Toc501002427"/>
      <w:proofErr w:type="gramStart"/>
      <w:r w:rsidRPr="00122901">
        <w:t>D</w:t>
      </w:r>
      <w:r w:rsidR="00634AAE" w:rsidRPr="00122901">
        <w:t>.</w:t>
      </w:r>
      <w:r w:rsidR="002B546D" w:rsidRPr="00122901">
        <w:t>1</w:t>
      </w:r>
      <w:r w:rsidR="00EA6A49" w:rsidRPr="00122901">
        <w:t>)</w:t>
      </w:r>
      <w:r w:rsidR="00634AAE" w:rsidRPr="00122901">
        <w:tab/>
      </w:r>
      <w:bookmarkEnd w:id="4"/>
      <w:r w:rsidR="00F763A9" w:rsidRPr="00122901">
        <w:t>ARCHITEKT</w:t>
      </w:r>
      <w:proofErr w:type="gramEnd"/>
      <w:r w:rsidR="0036254B">
        <w:t>.</w:t>
      </w:r>
      <w:r w:rsidR="00F763A9" w:rsidRPr="00122901">
        <w:t xml:space="preserve"> VÝTVARNÉ, MATERIÁLOVÉ, DISPOZIČNÍ A PROVOZNÍ ŘEŠENÍ</w:t>
      </w:r>
      <w:bookmarkEnd w:id="6"/>
    </w:p>
    <w:p w:rsidR="00F763A9" w:rsidRPr="00A95D25" w:rsidRDefault="00A277F9" w:rsidP="00436CD3">
      <w:pPr>
        <w:pStyle w:val="Nadpis3"/>
      </w:pPr>
      <w:bookmarkStart w:id="7" w:name="_Toc501002428"/>
      <w:proofErr w:type="gramStart"/>
      <w:r w:rsidRPr="00A95D25">
        <w:t>D.1</w:t>
      </w:r>
      <w:r w:rsidR="00DB5331" w:rsidRPr="00A95D25">
        <w:t>.</w:t>
      </w:r>
      <w:r w:rsidRPr="00A95D25">
        <w:t xml:space="preserve">a </w:t>
      </w:r>
      <w:r w:rsidR="00157F56" w:rsidRPr="00A95D25">
        <w:tab/>
      </w:r>
      <w:r w:rsidRPr="00A95D25">
        <w:t>Architektonické</w:t>
      </w:r>
      <w:proofErr w:type="gramEnd"/>
      <w:r w:rsidRPr="00A95D25">
        <w:t xml:space="preserve"> řešení</w:t>
      </w:r>
      <w:bookmarkEnd w:id="7"/>
    </w:p>
    <w:p w:rsidR="00FC16A7" w:rsidRPr="00A95D25" w:rsidRDefault="003E44B9" w:rsidP="00FC16A7">
      <w:pPr>
        <w:rPr>
          <w:sz w:val="22"/>
          <w:szCs w:val="22"/>
        </w:rPr>
      </w:pPr>
      <w:r w:rsidRPr="00A95D25">
        <w:rPr>
          <w:bCs/>
          <w:sz w:val="22"/>
        </w:rPr>
        <w:t>Architektonické řešení budovy „</w:t>
      </w:r>
      <w:r w:rsidR="00167BA0" w:rsidRPr="00A95D25">
        <w:rPr>
          <w:bCs/>
          <w:sz w:val="22"/>
        </w:rPr>
        <w:t>T</w:t>
      </w:r>
      <w:r w:rsidRPr="00A95D25">
        <w:rPr>
          <w:bCs/>
          <w:sz w:val="22"/>
        </w:rPr>
        <w:t xml:space="preserve">“ není </w:t>
      </w:r>
      <w:r w:rsidR="00167BA0" w:rsidRPr="00A95D25">
        <w:rPr>
          <w:bCs/>
          <w:sz w:val="22"/>
        </w:rPr>
        <w:t>úpravami</w:t>
      </w:r>
      <w:r w:rsidRPr="00A95D25">
        <w:rPr>
          <w:bCs/>
          <w:sz w:val="22"/>
        </w:rPr>
        <w:t xml:space="preserve"> vnitřní předávací stanice dotčeno.</w:t>
      </w:r>
    </w:p>
    <w:p w:rsidR="00EA6A49" w:rsidRPr="008A63B6" w:rsidRDefault="00A277F9" w:rsidP="00436CD3">
      <w:pPr>
        <w:pStyle w:val="Nadpis3"/>
      </w:pPr>
      <w:bookmarkStart w:id="8" w:name="_Toc501002429"/>
      <w:proofErr w:type="gramStart"/>
      <w:r w:rsidRPr="008A63B6">
        <w:t>D.1</w:t>
      </w:r>
      <w:r w:rsidR="00DB5331" w:rsidRPr="008A63B6">
        <w:t>.</w:t>
      </w:r>
      <w:r w:rsidRPr="008A63B6">
        <w:t xml:space="preserve">b </w:t>
      </w:r>
      <w:r w:rsidR="00157F56" w:rsidRPr="008A63B6">
        <w:tab/>
      </w:r>
      <w:r w:rsidRPr="008A63B6">
        <w:t>Výtvarné</w:t>
      </w:r>
      <w:proofErr w:type="gramEnd"/>
      <w:r w:rsidRPr="008A63B6">
        <w:t xml:space="preserve"> řešení</w:t>
      </w:r>
      <w:bookmarkEnd w:id="8"/>
    </w:p>
    <w:p w:rsidR="00A277F9" w:rsidRPr="008A63B6" w:rsidRDefault="005305A0" w:rsidP="00436CD3">
      <w:pPr>
        <w:rPr>
          <w:sz w:val="22"/>
          <w:szCs w:val="22"/>
        </w:rPr>
      </w:pPr>
      <w:r w:rsidRPr="008A63B6">
        <w:rPr>
          <w:sz w:val="22"/>
          <w:szCs w:val="22"/>
        </w:rPr>
        <w:t xml:space="preserve">Do obvodového pláště nebude zasahováno. </w:t>
      </w:r>
    </w:p>
    <w:p w:rsidR="00EA6A49" w:rsidRPr="008A63B6" w:rsidRDefault="00A277F9" w:rsidP="00436CD3">
      <w:pPr>
        <w:pStyle w:val="Nadpis3"/>
      </w:pPr>
      <w:bookmarkStart w:id="9" w:name="_Toc501002430"/>
      <w:proofErr w:type="gramStart"/>
      <w:r w:rsidRPr="008A63B6">
        <w:t>D.1</w:t>
      </w:r>
      <w:r w:rsidR="00DB5331" w:rsidRPr="008A63B6">
        <w:t>.</w:t>
      </w:r>
      <w:r w:rsidRPr="008A63B6">
        <w:t xml:space="preserve">c </w:t>
      </w:r>
      <w:r w:rsidR="00157F56" w:rsidRPr="008A63B6">
        <w:tab/>
      </w:r>
      <w:r w:rsidRPr="008A63B6">
        <w:t>Materiálové</w:t>
      </w:r>
      <w:proofErr w:type="gramEnd"/>
      <w:r w:rsidRPr="008A63B6">
        <w:t xml:space="preserve"> řešení</w:t>
      </w:r>
      <w:bookmarkEnd w:id="9"/>
    </w:p>
    <w:p w:rsidR="00A50E7C" w:rsidRPr="008A63B6" w:rsidRDefault="00A50E7C" w:rsidP="00436CD3">
      <w:pPr>
        <w:rPr>
          <w:sz w:val="22"/>
          <w:szCs w:val="22"/>
        </w:rPr>
      </w:pPr>
      <w:r w:rsidRPr="008A63B6">
        <w:rPr>
          <w:sz w:val="22"/>
          <w:szCs w:val="22"/>
        </w:rPr>
        <w:t>Stavba je navržena z odolných a běžných stavebních materiálů.</w:t>
      </w:r>
    </w:p>
    <w:p w:rsidR="00904212" w:rsidRPr="008A63B6" w:rsidRDefault="00C22A05" w:rsidP="00436CD3">
      <w:pPr>
        <w:rPr>
          <w:sz w:val="22"/>
          <w:szCs w:val="22"/>
        </w:rPr>
      </w:pPr>
      <w:r w:rsidRPr="008A63B6">
        <w:rPr>
          <w:sz w:val="22"/>
          <w:szCs w:val="22"/>
        </w:rPr>
        <w:t>N</w:t>
      </w:r>
      <w:r w:rsidRPr="008A63B6">
        <w:rPr>
          <w:sz w:val="22"/>
        </w:rPr>
        <w:t>ové o</w:t>
      </w:r>
      <w:r w:rsidRPr="008A63B6">
        <w:rPr>
          <w:sz w:val="22"/>
          <w:szCs w:val="22"/>
        </w:rPr>
        <w:t>mítky</w:t>
      </w:r>
      <w:r w:rsidRPr="008A63B6">
        <w:rPr>
          <w:sz w:val="22"/>
        </w:rPr>
        <w:t xml:space="preserve"> dvouvrstvé štukové</w:t>
      </w:r>
      <w:r w:rsidR="008E6DA1" w:rsidRPr="008A63B6">
        <w:rPr>
          <w:sz w:val="22"/>
          <w:szCs w:val="22"/>
        </w:rPr>
        <w:t>.</w:t>
      </w:r>
      <w:r w:rsidR="001B77CE" w:rsidRPr="008A63B6">
        <w:rPr>
          <w:sz w:val="22"/>
          <w:szCs w:val="22"/>
        </w:rPr>
        <w:t xml:space="preserve"> </w:t>
      </w:r>
    </w:p>
    <w:p w:rsidR="00904212" w:rsidRPr="008A63B6" w:rsidRDefault="008A63B6" w:rsidP="00436CD3">
      <w:pPr>
        <w:rPr>
          <w:sz w:val="22"/>
          <w:szCs w:val="22"/>
        </w:rPr>
      </w:pPr>
      <w:r w:rsidRPr="008A63B6">
        <w:rPr>
          <w:sz w:val="22"/>
          <w:szCs w:val="22"/>
        </w:rPr>
        <w:t>Doplnění teracové dlažby shodného formátu a barevného provedení.</w:t>
      </w:r>
      <w:r>
        <w:rPr>
          <w:sz w:val="22"/>
          <w:szCs w:val="22"/>
        </w:rPr>
        <w:t xml:space="preserve"> </w:t>
      </w:r>
    </w:p>
    <w:p w:rsidR="00DB5331" w:rsidRPr="008A63B6" w:rsidRDefault="00DB5331" w:rsidP="00436CD3">
      <w:pPr>
        <w:pStyle w:val="Nadpis3"/>
      </w:pPr>
      <w:bookmarkStart w:id="10" w:name="_Toc501002431"/>
      <w:proofErr w:type="gramStart"/>
      <w:r w:rsidRPr="008A63B6">
        <w:t>D.1.d</w:t>
      </w:r>
      <w:r w:rsidR="00451FC2" w:rsidRPr="008A63B6">
        <w:t xml:space="preserve"> </w:t>
      </w:r>
      <w:r w:rsidR="00157F56" w:rsidRPr="008A63B6">
        <w:tab/>
      </w:r>
      <w:r w:rsidR="00451FC2" w:rsidRPr="008A63B6">
        <w:t>Dispoziční</w:t>
      </w:r>
      <w:proofErr w:type="gramEnd"/>
      <w:r w:rsidR="00451FC2" w:rsidRPr="008A63B6">
        <w:t xml:space="preserve"> řešení</w:t>
      </w:r>
      <w:bookmarkEnd w:id="10"/>
    </w:p>
    <w:p w:rsidR="00804BCF" w:rsidRPr="008A63B6" w:rsidRDefault="008A63B6" w:rsidP="00724458">
      <w:pPr>
        <w:rPr>
          <w:sz w:val="22"/>
          <w:szCs w:val="22"/>
        </w:rPr>
      </w:pPr>
      <w:r w:rsidRPr="008A63B6">
        <w:rPr>
          <w:sz w:val="22"/>
          <w:szCs w:val="22"/>
        </w:rPr>
        <w:t xml:space="preserve">Stavební </w:t>
      </w:r>
      <w:proofErr w:type="gramStart"/>
      <w:r w:rsidRPr="008A63B6">
        <w:rPr>
          <w:sz w:val="22"/>
          <w:szCs w:val="22"/>
        </w:rPr>
        <w:t>úpravy v 1.PP</w:t>
      </w:r>
      <w:proofErr w:type="gramEnd"/>
      <w:r w:rsidRPr="008A63B6">
        <w:rPr>
          <w:sz w:val="22"/>
          <w:szCs w:val="22"/>
        </w:rPr>
        <w:t xml:space="preserve"> nemění dispoziční řešení.</w:t>
      </w:r>
    </w:p>
    <w:p w:rsidR="00451FC2" w:rsidRPr="008A63B6" w:rsidRDefault="00451FC2" w:rsidP="00436CD3">
      <w:pPr>
        <w:pStyle w:val="Nadpis3"/>
      </w:pPr>
      <w:bookmarkStart w:id="11" w:name="_Toc501002432"/>
      <w:proofErr w:type="gramStart"/>
      <w:r w:rsidRPr="008A63B6">
        <w:t xml:space="preserve">D.1.e </w:t>
      </w:r>
      <w:r w:rsidR="00157F56" w:rsidRPr="008A63B6">
        <w:tab/>
      </w:r>
      <w:r w:rsidRPr="008A63B6">
        <w:t>Provozní</w:t>
      </w:r>
      <w:proofErr w:type="gramEnd"/>
      <w:r w:rsidRPr="008A63B6">
        <w:t xml:space="preserve"> řešení</w:t>
      </w:r>
      <w:bookmarkEnd w:id="11"/>
    </w:p>
    <w:p w:rsidR="009D79C5" w:rsidRPr="008A63B6" w:rsidRDefault="009D79C5" w:rsidP="009D79C5">
      <w:pPr>
        <w:rPr>
          <w:sz w:val="22"/>
          <w:szCs w:val="22"/>
        </w:rPr>
      </w:pPr>
      <w:bookmarkStart w:id="12" w:name="_Toc216762122"/>
      <w:r w:rsidRPr="008A63B6">
        <w:rPr>
          <w:sz w:val="22"/>
          <w:szCs w:val="22"/>
        </w:rPr>
        <w:t xml:space="preserve">Realizací </w:t>
      </w:r>
      <w:r w:rsidR="00066888" w:rsidRPr="008A63B6">
        <w:rPr>
          <w:sz w:val="22"/>
          <w:szCs w:val="22"/>
        </w:rPr>
        <w:t xml:space="preserve">předávací </w:t>
      </w:r>
      <w:proofErr w:type="gramStart"/>
      <w:r w:rsidR="00066888" w:rsidRPr="008A63B6">
        <w:rPr>
          <w:sz w:val="22"/>
          <w:szCs w:val="22"/>
        </w:rPr>
        <w:t>stanice v 1.</w:t>
      </w:r>
      <w:r w:rsidR="008A63B6" w:rsidRPr="008A63B6">
        <w:rPr>
          <w:sz w:val="22"/>
          <w:szCs w:val="22"/>
        </w:rPr>
        <w:t>P</w:t>
      </w:r>
      <w:r w:rsidR="00066888" w:rsidRPr="008A63B6">
        <w:rPr>
          <w:sz w:val="22"/>
          <w:szCs w:val="22"/>
        </w:rPr>
        <w:t>P</w:t>
      </w:r>
      <w:proofErr w:type="gramEnd"/>
      <w:r w:rsidR="00066888" w:rsidRPr="008A63B6">
        <w:rPr>
          <w:sz w:val="22"/>
          <w:szCs w:val="22"/>
        </w:rPr>
        <w:t xml:space="preserve"> budovy „</w:t>
      </w:r>
      <w:r w:rsidR="008A63B6" w:rsidRPr="008A63B6">
        <w:rPr>
          <w:sz w:val="22"/>
          <w:szCs w:val="22"/>
        </w:rPr>
        <w:t>T</w:t>
      </w:r>
      <w:r w:rsidR="00066888" w:rsidRPr="008A63B6">
        <w:rPr>
          <w:sz w:val="22"/>
          <w:szCs w:val="22"/>
        </w:rPr>
        <w:t xml:space="preserve">“ </w:t>
      </w:r>
      <w:r w:rsidRPr="008A63B6">
        <w:rPr>
          <w:sz w:val="22"/>
          <w:szCs w:val="22"/>
        </w:rPr>
        <w:t xml:space="preserve"> se celkové provozní řešení nemění. Provoz je upraven provozním řádem, zpracovaným provozovatelem</w:t>
      </w:r>
      <w:r w:rsidR="00066888" w:rsidRPr="008A63B6">
        <w:rPr>
          <w:sz w:val="22"/>
          <w:szCs w:val="22"/>
        </w:rPr>
        <w:t>, který bu</w:t>
      </w:r>
      <w:r w:rsidR="007453BA" w:rsidRPr="008A63B6">
        <w:rPr>
          <w:sz w:val="22"/>
          <w:szCs w:val="22"/>
        </w:rPr>
        <w:t>de upraven doplněn o provoz předávací stanice</w:t>
      </w:r>
      <w:r w:rsidRPr="008A63B6">
        <w:rPr>
          <w:sz w:val="22"/>
          <w:szCs w:val="22"/>
        </w:rPr>
        <w:t>.</w:t>
      </w:r>
      <w:r w:rsidR="0063269E" w:rsidRPr="008A63B6">
        <w:rPr>
          <w:sz w:val="22"/>
          <w:szCs w:val="22"/>
        </w:rPr>
        <w:t xml:space="preserve"> </w:t>
      </w:r>
    </w:p>
    <w:p w:rsidR="00EA6A49" w:rsidRPr="00A95D25" w:rsidRDefault="00A458D9" w:rsidP="00436CD3">
      <w:pPr>
        <w:pStyle w:val="Nadpis2"/>
      </w:pPr>
      <w:bookmarkStart w:id="13" w:name="_Toc501002433"/>
      <w:proofErr w:type="gramStart"/>
      <w:r w:rsidRPr="00A95D25">
        <w:t>D</w:t>
      </w:r>
      <w:r w:rsidR="00634AAE" w:rsidRPr="00A95D25">
        <w:t>.</w:t>
      </w:r>
      <w:r w:rsidR="00451FC2" w:rsidRPr="00A95D25">
        <w:t>2</w:t>
      </w:r>
      <w:r w:rsidR="00634AAE" w:rsidRPr="00A95D25">
        <w:tab/>
      </w:r>
      <w:r w:rsidR="00451FC2" w:rsidRPr="00A95D25">
        <w:t>BEZBAR</w:t>
      </w:r>
      <w:r w:rsidR="0000211F" w:rsidRPr="00A95D25">
        <w:t>i</w:t>
      </w:r>
      <w:r w:rsidR="00451FC2" w:rsidRPr="00A95D25">
        <w:t>ÉROVÉ</w:t>
      </w:r>
      <w:proofErr w:type="gramEnd"/>
      <w:r w:rsidR="00451FC2" w:rsidRPr="00A95D25">
        <w:t xml:space="preserve"> UŽÍVÁNÍ STAVBY</w:t>
      </w:r>
      <w:bookmarkEnd w:id="12"/>
      <w:bookmarkEnd w:id="13"/>
    </w:p>
    <w:p w:rsidR="009D79C5" w:rsidRPr="00A95D25" w:rsidRDefault="007453BA" w:rsidP="009D79C5">
      <w:pPr>
        <w:rPr>
          <w:sz w:val="22"/>
          <w:szCs w:val="22"/>
        </w:rPr>
      </w:pPr>
      <w:r w:rsidRPr="00A95D25">
        <w:rPr>
          <w:sz w:val="22"/>
          <w:szCs w:val="22"/>
        </w:rPr>
        <w:t>Realizací předávací stanice v budově „</w:t>
      </w:r>
      <w:r w:rsidR="00A95D25" w:rsidRPr="00A95D25">
        <w:rPr>
          <w:sz w:val="22"/>
          <w:szCs w:val="22"/>
        </w:rPr>
        <w:t>T</w:t>
      </w:r>
      <w:r w:rsidRPr="00A95D25">
        <w:rPr>
          <w:sz w:val="22"/>
          <w:szCs w:val="22"/>
        </w:rPr>
        <w:t>“ se do bezbariérového řešení stavby nezasahuje</w:t>
      </w:r>
      <w:r w:rsidR="009D79C5" w:rsidRPr="00A95D25">
        <w:rPr>
          <w:sz w:val="22"/>
          <w:szCs w:val="22"/>
        </w:rPr>
        <w:t>.</w:t>
      </w:r>
    </w:p>
    <w:p w:rsidR="00EA6A49" w:rsidRPr="00EC4F63" w:rsidRDefault="00451FC2" w:rsidP="00436CD3">
      <w:pPr>
        <w:pStyle w:val="Nadpis2"/>
      </w:pPr>
      <w:bookmarkStart w:id="14" w:name="_Toc501002434"/>
      <w:proofErr w:type="gramStart"/>
      <w:r w:rsidRPr="00EC4F63">
        <w:t>D.3</w:t>
      </w:r>
      <w:r w:rsidRPr="00EC4F63">
        <w:tab/>
        <w:t>KONSTRUKČNÍ</w:t>
      </w:r>
      <w:proofErr w:type="gramEnd"/>
      <w:r w:rsidRPr="00EC4F63">
        <w:t xml:space="preserve"> A STAVEBNĚ TECHNICKÉ ŘEŠENÍ</w:t>
      </w:r>
      <w:bookmarkEnd w:id="14"/>
    </w:p>
    <w:p w:rsidR="00EA6A49" w:rsidRPr="00EC4F63" w:rsidRDefault="00634AAE" w:rsidP="00436CD3">
      <w:pPr>
        <w:pStyle w:val="Nadpis3"/>
        <w:rPr>
          <w:szCs w:val="22"/>
        </w:rPr>
      </w:pPr>
      <w:bookmarkStart w:id="15" w:name="_Toc216762123"/>
      <w:bookmarkStart w:id="16" w:name="_Toc501002435"/>
      <w:proofErr w:type="gramStart"/>
      <w:r w:rsidRPr="00EC4F63">
        <w:t>D.</w:t>
      </w:r>
      <w:r w:rsidR="00001AAC" w:rsidRPr="00EC4F63">
        <w:t>3.a</w:t>
      </w:r>
      <w:r w:rsidRPr="00EC4F63">
        <w:t xml:space="preserve"> </w:t>
      </w:r>
      <w:bookmarkEnd w:id="15"/>
      <w:r w:rsidR="00157F56" w:rsidRPr="00EC4F63">
        <w:tab/>
      </w:r>
      <w:r w:rsidR="00A41CB8" w:rsidRPr="00EC4F63">
        <w:t>Bourací</w:t>
      </w:r>
      <w:proofErr w:type="gramEnd"/>
      <w:r w:rsidR="00A41CB8" w:rsidRPr="00EC4F63">
        <w:t xml:space="preserve"> práce</w:t>
      </w:r>
      <w:bookmarkEnd w:id="16"/>
    </w:p>
    <w:p w:rsidR="00EF33E3" w:rsidRPr="00EC4F63" w:rsidRDefault="007453BA" w:rsidP="00B26C85">
      <w:pPr>
        <w:rPr>
          <w:sz w:val="22"/>
          <w:szCs w:val="22"/>
        </w:rPr>
      </w:pPr>
      <w:bookmarkStart w:id="17" w:name="OLE_LINK5"/>
      <w:proofErr w:type="gramStart"/>
      <w:r w:rsidRPr="00EC4F63">
        <w:rPr>
          <w:sz w:val="22"/>
          <w:szCs w:val="22"/>
        </w:rPr>
        <w:t>V 1.</w:t>
      </w:r>
      <w:r w:rsidR="00EF33E3" w:rsidRPr="00EC4F63">
        <w:rPr>
          <w:sz w:val="22"/>
          <w:szCs w:val="22"/>
        </w:rPr>
        <w:t>PP</w:t>
      </w:r>
      <w:proofErr w:type="gramEnd"/>
      <w:r w:rsidRPr="00EC4F63">
        <w:rPr>
          <w:sz w:val="22"/>
          <w:szCs w:val="22"/>
        </w:rPr>
        <w:t xml:space="preserve"> budou vybourány</w:t>
      </w:r>
      <w:r w:rsidR="004274F1" w:rsidRPr="00EC4F63">
        <w:rPr>
          <w:sz w:val="22"/>
          <w:szCs w:val="22"/>
        </w:rPr>
        <w:t xml:space="preserve"> </w:t>
      </w:r>
      <w:r w:rsidR="00EF33E3" w:rsidRPr="00EC4F63">
        <w:rPr>
          <w:sz w:val="22"/>
          <w:szCs w:val="22"/>
        </w:rPr>
        <w:t>označené betonové základ</w:t>
      </w:r>
      <w:r w:rsidR="00EC4F63" w:rsidRPr="00EC4F63">
        <w:rPr>
          <w:sz w:val="22"/>
          <w:szCs w:val="22"/>
        </w:rPr>
        <w:t xml:space="preserve">ové patky. Odstraní se </w:t>
      </w:r>
      <w:r w:rsidR="00EC4F63">
        <w:rPr>
          <w:sz w:val="22"/>
          <w:szCs w:val="22"/>
        </w:rPr>
        <w:t xml:space="preserve">soklíky z teraca, dále </w:t>
      </w:r>
      <w:r w:rsidR="00EC4F63" w:rsidRPr="00EC4F63">
        <w:rPr>
          <w:sz w:val="22"/>
          <w:szCs w:val="22"/>
        </w:rPr>
        <w:t>porušené omítky v rozsahu cca 15%.</w:t>
      </w:r>
      <w:r w:rsidR="004027BF" w:rsidRPr="00EC4F63">
        <w:rPr>
          <w:sz w:val="22"/>
          <w:szCs w:val="22"/>
        </w:rPr>
        <w:t xml:space="preserve"> </w:t>
      </w:r>
      <w:r w:rsidR="00EC4F63">
        <w:rPr>
          <w:sz w:val="22"/>
          <w:szCs w:val="22"/>
        </w:rPr>
        <w:t xml:space="preserve">Demontuje se </w:t>
      </w:r>
      <w:proofErr w:type="spellStart"/>
      <w:r w:rsidR="00EC4F63">
        <w:rPr>
          <w:sz w:val="22"/>
          <w:szCs w:val="22"/>
        </w:rPr>
        <w:t>pororošt</w:t>
      </w:r>
      <w:proofErr w:type="spellEnd"/>
      <w:r w:rsidR="00EC4F63">
        <w:rPr>
          <w:sz w:val="22"/>
          <w:szCs w:val="22"/>
        </w:rPr>
        <w:t xml:space="preserve"> zakrývající podlahový kanálek. </w:t>
      </w:r>
    </w:p>
    <w:p w:rsidR="00D0712D" w:rsidRPr="00EC4F63" w:rsidRDefault="00D0712D" w:rsidP="00B26C85">
      <w:pPr>
        <w:rPr>
          <w:sz w:val="22"/>
          <w:szCs w:val="22"/>
        </w:rPr>
      </w:pPr>
      <w:r w:rsidRPr="00EC4F63">
        <w:rPr>
          <w:sz w:val="22"/>
          <w:szCs w:val="22"/>
        </w:rPr>
        <w:t>Rozsah bouracích prací viz půdorysy bouracích prací.</w:t>
      </w:r>
    </w:p>
    <w:p w:rsidR="00446C93" w:rsidRPr="00A95D25" w:rsidRDefault="00446C93" w:rsidP="00446C93">
      <w:pPr>
        <w:pStyle w:val="Nadpis3"/>
      </w:pPr>
      <w:bookmarkStart w:id="18" w:name="_Toc501002436"/>
      <w:proofErr w:type="gramStart"/>
      <w:r w:rsidRPr="00A95D25">
        <w:t xml:space="preserve">D.3.b </w:t>
      </w:r>
      <w:r w:rsidR="00157F56" w:rsidRPr="00A95D25">
        <w:tab/>
      </w:r>
      <w:r w:rsidRPr="00A95D25">
        <w:t>Výkopové</w:t>
      </w:r>
      <w:proofErr w:type="gramEnd"/>
      <w:r w:rsidRPr="00A95D25">
        <w:t xml:space="preserve"> práce:</w:t>
      </w:r>
      <w:bookmarkEnd w:id="18"/>
    </w:p>
    <w:p w:rsidR="00446C93" w:rsidRPr="00A95D25" w:rsidRDefault="00233E13" w:rsidP="00EB2883">
      <w:pPr>
        <w:rPr>
          <w:sz w:val="22"/>
          <w:szCs w:val="22"/>
        </w:rPr>
      </w:pPr>
      <w:r w:rsidRPr="00A95D25">
        <w:rPr>
          <w:sz w:val="22"/>
          <w:szCs w:val="22"/>
        </w:rPr>
        <w:t xml:space="preserve">Výkopové práce </w:t>
      </w:r>
      <w:r w:rsidR="00EB2883" w:rsidRPr="00A95D25">
        <w:rPr>
          <w:sz w:val="22"/>
          <w:szCs w:val="22"/>
        </w:rPr>
        <w:t>budou provedeny v rámci samostatných stavebních objektů SO-04 a SO-05</w:t>
      </w:r>
      <w:r w:rsidRPr="00A95D25">
        <w:rPr>
          <w:sz w:val="22"/>
          <w:szCs w:val="22"/>
        </w:rPr>
        <w:t>.</w:t>
      </w:r>
    </w:p>
    <w:p w:rsidR="00446C93" w:rsidRPr="00A95D25" w:rsidRDefault="00446C93" w:rsidP="00446C93">
      <w:pPr>
        <w:pStyle w:val="Nadpis3"/>
      </w:pPr>
      <w:bookmarkStart w:id="19" w:name="_Toc501002437"/>
      <w:proofErr w:type="gramStart"/>
      <w:r w:rsidRPr="00A95D25">
        <w:t xml:space="preserve">D.3.c </w:t>
      </w:r>
      <w:r w:rsidR="00157F56" w:rsidRPr="00A95D25">
        <w:tab/>
      </w:r>
      <w:r w:rsidRPr="00A95D25">
        <w:t>Základové</w:t>
      </w:r>
      <w:proofErr w:type="gramEnd"/>
      <w:r w:rsidRPr="00A95D25">
        <w:t xml:space="preserve"> konstrukce:</w:t>
      </w:r>
      <w:bookmarkEnd w:id="19"/>
    </w:p>
    <w:p w:rsidR="00446C93" w:rsidRPr="00A95D25" w:rsidRDefault="00A95D25" w:rsidP="00446C93">
      <w:pPr>
        <w:rPr>
          <w:sz w:val="22"/>
          <w:szCs w:val="22"/>
        </w:rPr>
      </w:pPr>
      <w:r w:rsidRPr="00A95D25">
        <w:rPr>
          <w:sz w:val="22"/>
          <w:szCs w:val="22"/>
        </w:rPr>
        <w:t>Vybourají se označené základové patky těsně pod úroveň podlahy. N</w:t>
      </w:r>
      <w:r w:rsidR="00EB2883" w:rsidRPr="00A95D25">
        <w:rPr>
          <w:sz w:val="22"/>
          <w:szCs w:val="22"/>
        </w:rPr>
        <w:t xml:space="preserve">ové </w:t>
      </w:r>
      <w:r w:rsidRPr="00A95D25">
        <w:rPr>
          <w:sz w:val="22"/>
          <w:szCs w:val="22"/>
        </w:rPr>
        <w:t xml:space="preserve">základové konstrukce </w:t>
      </w:r>
      <w:r w:rsidR="00EB2883" w:rsidRPr="00A95D25">
        <w:rPr>
          <w:sz w:val="22"/>
          <w:szCs w:val="22"/>
        </w:rPr>
        <w:t>vznikat nebudou</w:t>
      </w:r>
      <w:r w:rsidR="0079129B" w:rsidRPr="00A95D25">
        <w:t>.</w:t>
      </w:r>
    </w:p>
    <w:p w:rsidR="00964A37" w:rsidRPr="00535C28" w:rsidRDefault="0079129B" w:rsidP="00964A37">
      <w:pPr>
        <w:pStyle w:val="Nadpis3"/>
      </w:pPr>
      <w:bookmarkStart w:id="20" w:name="_Toc501002438"/>
      <w:proofErr w:type="gramStart"/>
      <w:r w:rsidRPr="00535C28">
        <w:t>D.3.</w:t>
      </w:r>
      <w:r w:rsidR="00330321" w:rsidRPr="00535C28">
        <w:t>f</w:t>
      </w:r>
      <w:r w:rsidR="00964A37" w:rsidRPr="00535C28">
        <w:t xml:space="preserve"> </w:t>
      </w:r>
      <w:r w:rsidR="00157F56" w:rsidRPr="00535C28">
        <w:tab/>
      </w:r>
      <w:r w:rsidR="00964A37" w:rsidRPr="00535C28">
        <w:t>Úprava</w:t>
      </w:r>
      <w:proofErr w:type="gramEnd"/>
      <w:r w:rsidR="00964A37" w:rsidRPr="00535C28">
        <w:t xml:space="preserve"> povrchů vnitřních</w:t>
      </w:r>
      <w:bookmarkEnd w:id="20"/>
    </w:p>
    <w:p w:rsidR="00C264EA" w:rsidRPr="00535C28" w:rsidRDefault="00535C28" w:rsidP="00964A37">
      <w:pPr>
        <w:rPr>
          <w:sz w:val="22"/>
          <w:szCs w:val="22"/>
        </w:rPr>
      </w:pPr>
      <w:r>
        <w:rPr>
          <w:sz w:val="22"/>
          <w:szCs w:val="22"/>
        </w:rPr>
        <w:t xml:space="preserve">Doplní se narušené omítky v rozsahu cca 15% - </w:t>
      </w:r>
      <w:r w:rsidR="001E0597" w:rsidRPr="00535C28">
        <w:rPr>
          <w:sz w:val="22"/>
          <w:szCs w:val="22"/>
        </w:rPr>
        <w:t xml:space="preserve">dvouvrstvé vápenné štukové omítky ze suchých směsí, plstí hlazené. </w:t>
      </w:r>
      <w:r>
        <w:rPr>
          <w:sz w:val="22"/>
          <w:szCs w:val="22"/>
        </w:rPr>
        <w:t>Omítky stěn i stropu se očistí</w:t>
      </w:r>
      <w:r w:rsidR="001E0597" w:rsidRPr="00535C2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(do úrovně ±0,000) a </w:t>
      </w:r>
      <w:r w:rsidR="001E0597" w:rsidRPr="00535C28">
        <w:rPr>
          <w:sz w:val="22"/>
          <w:szCs w:val="22"/>
        </w:rPr>
        <w:t xml:space="preserve">přes penetraci </w:t>
      </w:r>
      <w:r>
        <w:rPr>
          <w:sz w:val="22"/>
          <w:szCs w:val="22"/>
        </w:rPr>
        <w:t xml:space="preserve">se </w:t>
      </w:r>
      <w:r w:rsidR="001E0597" w:rsidRPr="00535C28">
        <w:rPr>
          <w:sz w:val="22"/>
          <w:szCs w:val="22"/>
        </w:rPr>
        <w:t>provede dvojnásobná malba dostupnými nátěrovými barvami</w:t>
      </w:r>
      <w:r>
        <w:rPr>
          <w:sz w:val="22"/>
          <w:szCs w:val="22"/>
        </w:rPr>
        <w:t>, b</w:t>
      </w:r>
      <w:r w:rsidR="001E0597" w:rsidRPr="00535C28">
        <w:rPr>
          <w:sz w:val="22"/>
          <w:szCs w:val="22"/>
        </w:rPr>
        <w:t xml:space="preserve">arva </w:t>
      </w:r>
      <w:r>
        <w:rPr>
          <w:sz w:val="22"/>
          <w:szCs w:val="22"/>
        </w:rPr>
        <w:t>bílá</w:t>
      </w:r>
      <w:r w:rsidR="001E0597" w:rsidRPr="00535C28">
        <w:rPr>
          <w:sz w:val="22"/>
          <w:szCs w:val="22"/>
        </w:rPr>
        <w:t xml:space="preserve">. </w:t>
      </w:r>
    </w:p>
    <w:p w:rsidR="00535C28" w:rsidRPr="00535C28" w:rsidRDefault="00535C28" w:rsidP="00964A37">
      <w:pPr>
        <w:rPr>
          <w:sz w:val="22"/>
          <w:szCs w:val="22"/>
        </w:rPr>
      </w:pPr>
      <w:r w:rsidRPr="00535C28">
        <w:rPr>
          <w:sz w:val="22"/>
          <w:szCs w:val="22"/>
        </w:rPr>
        <w:t>Provede se nový keramický</w:t>
      </w:r>
      <w:r w:rsidR="00C264EA" w:rsidRPr="00535C28">
        <w:rPr>
          <w:sz w:val="22"/>
          <w:szCs w:val="22"/>
        </w:rPr>
        <w:t xml:space="preserve"> soklík </w:t>
      </w:r>
      <w:proofErr w:type="gramStart"/>
      <w:r w:rsidR="00C264EA" w:rsidRPr="00535C28">
        <w:rPr>
          <w:sz w:val="22"/>
          <w:szCs w:val="22"/>
        </w:rPr>
        <w:t>v.100</w:t>
      </w:r>
      <w:proofErr w:type="gramEnd"/>
      <w:r w:rsidR="00C264EA" w:rsidRPr="00535C28">
        <w:rPr>
          <w:sz w:val="22"/>
          <w:szCs w:val="22"/>
        </w:rPr>
        <w:t> mm</w:t>
      </w:r>
      <w:r w:rsidR="00714397">
        <w:rPr>
          <w:sz w:val="22"/>
          <w:szCs w:val="22"/>
        </w:rPr>
        <w:t>, barva šedá</w:t>
      </w:r>
      <w:r w:rsidR="00C264EA" w:rsidRPr="00535C28">
        <w:rPr>
          <w:sz w:val="22"/>
          <w:szCs w:val="22"/>
        </w:rPr>
        <w:t xml:space="preserve">. </w:t>
      </w:r>
    </w:p>
    <w:p w:rsidR="001E0597" w:rsidRPr="00535C28" w:rsidRDefault="00714397" w:rsidP="00964A37">
      <w:pPr>
        <w:rPr>
          <w:sz w:val="22"/>
          <w:szCs w:val="22"/>
        </w:rPr>
      </w:pPr>
      <w:r>
        <w:rPr>
          <w:sz w:val="22"/>
          <w:szCs w:val="22"/>
        </w:rPr>
        <w:t xml:space="preserve">Nové i stávající (poklopy, konzolky, podpůrné konstrukce rozvodů, ocel. </w:t>
      </w:r>
      <w:proofErr w:type="gramStart"/>
      <w:r>
        <w:rPr>
          <w:sz w:val="22"/>
          <w:szCs w:val="22"/>
        </w:rPr>
        <w:t>schodiště</w:t>
      </w:r>
      <w:proofErr w:type="gramEnd"/>
      <w:r>
        <w:rPr>
          <w:sz w:val="22"/>
          <w:szCs w:val="22"/>
        </w:rPr>
        <w:t>; odhad 150kg kovo</w:t>
      </w:r>
      <w:r w:rsidR="00306733">
        <w:rPr>
          <w:sz w:val="22"/>
          <w:szCs w:val="22"/>
        </w:rPr>
        <w:t>vých prvků</w:t>
      </w:r>
      <w:r>
        <w:rPr>
          <w:sz w:val="22"/>
          <w:szCs w:val="22"/>
        </w:rPr>
        <w:t>) z</w:t>
      </w:r>
      <w:r w:rsidR="001E0597" w:rsidRPr="00535C28">
        <w:rPr>
          <w:sz w:val="22"/>
          <w:szCs w:val="22"/>
        </w:rPr>
        <w:t>ámečnické výrobky se opatří antikorozním základním nátěrem a 2x vrchním nátěrem polyuretanového emailu, odstín dle výb</w:t>
      </w:r>
      <w:r w:rsidR="00C264EA" w:rsidRPr="00535C28">
        <w:rPr>
          <w:sz w:val="22"/>
          <w:szCs w:val="22"/>
        </w:rPr>
        <w:t>ěru investora (</w:t>
      </w:r>
      <w:r w:rsidR="0036469D">
        <w:rPr>
          <w:sz w:val="22"/>
          <w:szCs w:val="22"/>
        </w:rPr>
        <w:t>např</w:t>
      </w:r>
      <w:r w:rsidR="00C264EA" w:rsidRPr="00535C28">
        <w:rPr>
          <w:sz w:val="22"/>
          <w:szCs w:val="22"/>
        </w:rPr>
        <w:t>.</w:t>
      </w:r>
      <w:r w:rsidR="0036469D">
        <w:rPr>
          <w:sz w:val="22"/>
          <w:szCs w:val="22"/>
        </w:rPr>
        <w:t xml:space="preserve"> sv. šedá</w:t>
      </w:r>
      <w:r w:rsidR="00C264EA" w:rsidRPr="00535C28">
        <w:rPr>
          <w:sz w:val="22"/>
          <w:szCs w:val="22"/>
        </w:rPr>
        <w:t>).</w:t>
      </w:r>
      <w:r w:rsidR="00306733">
        <w:rPr>
          <w:sz w:val="22"/>
          <w:szCs w:val="22"/>
        </w:rPr>
        <w:t xml:space="preserve"> Stávající zámečnické prvky se nejdřív zbaví původních nátěrů a očistí. </w:t>
      </w:r>
    </w:p>
    <w:p w:rsidR="00964A37" w:rsidRPr="00E837A8" w:rsidRDefault="00964A37" w:rsidP="00964A37">
      <w:pPr>
        <w:pStyle w:val="Nadpis3"/>
      </w:pPr>
      <w:bookmarkStart w:id="21" w:name="_Toc501002439"/>
      <w:proofErr w:type="gramStart"/>
      <w:r w:rsidRPr="00E837A8">
        <w:lastRenderedPageBreak/>
        <w:t>D.3.</w:t>
      </w:r>
      <w:r w:rsidR="002C6DF4" w:rsidRPr="00E837A8">
        <w:t>g</w:t>
      </w:r>
      <w:r w:rsidRPr="00E837A8">
        <w:t xml:space="preserve"> </w:t>
      </w:r>
      <w:r w:rsidR="00157F56" w:rsidRPr="00E837A8">
        <w:tab/>
      </w:r>
      <w:r w:rsidRPr="00E837A8">
        <w:t>Podlahy</w:t>
      </w:r>
      <w:bookmarkEnd w:id="21"/>
      <w:proofErr w:type="gramEnd"/>
      <w:r w:rsidRPr="00E837A8">
        <w:t xml:space="preserve"> </w:t>
      </w:r>
    </w:p>
    <w:p w:rsidR="00270F55" w:rsidRDefault="002432DA" w:rsidP="002432DA">
      <w:pPr>
        <w:rPr>
          <w:sz w:val="22"/>
        </w:rPr>
      </w:pPr>
      <w:r w:rsidRPr="00E837A8">
        <w:rPr>
          <w:sz w:val="22"/>
        </w:rPr>
        <w:t>V</w:t>
      </w:r>
      <w:r w:rsidR="00270F55" w:rsidRPr="00E837A8">
        <w:rPr>
          <w:sz w:val="22"/>
        </w:rPr>
        <w:t xml:space="preserve"> místnosti </w:t>
      </w:r>
      <w:proofErr w:type="gramStart"/>
      <w:r w:rsidR="00E837A8">
        <w:rPr>
          <w:sz w:val="22"/>
        </w:rPr>
        <w:t>výměníku v 1.PP</w:t>
      </w:r>
      <w:proofErr w:type="gramEnd"/>
      <w:r w:rsidR="00270F55" w:rsidRPr="00E837A8">
        <w:rPr>
          <w:sz w:val="22"/>
        </w:rPr>
        <w:t xml:space="preserve"> bude </w:t>
      </w:r>
      <w:r w:rsidR="00E837A8">
        <w:rPr>
          <w:sz w:val="22"/>
        </w:rPr>
        <w:t xml:space="preserve">lokálně </w:t>
      </w:r>
      <w:r w:rsidR="00270F55" w:rsidRPr="00E837A8">
        <w:rPr>
          <w:sz w:val="22"/>
        </w:rPr>
        <w:t xml:space="preserve">provedena </w:t>
      </w:r>
      <w:r w:rsidR="00E837A8">
        <w:rPr>
          <w:sz w:val="22"/>
        </w:rPr>
        <w:t>nová nášlapná vrstva z teracové dlažby do malty cementové, a to pouze v místě vybouraných základových patek. Větší nerovnosti se</w:t>
      </w:r>
      <w:r w:rsidR="00087195">
        <w:rPr>
          <w:sz w:val="22"/>
        </w:rPr>
        <w:t xml:space="preserve"> předem</w:t>
      </w:r>
      <w:r w:rsidR="00E837A8">
        <w:rPr>
          <w:sz w:val="22"/>
        </w:rPr>
        <w:t xml:space="preserve"> doplní betonem</w:t>
      </w:r>
      <w:r w:rsidR="00087195">
        <w:rPr>
          <w:sz w:val="22"/>
        </w:rPr>
        <w:t xml:space="preserve">, podklad se </w:t>
      </w:r>
      <w:proofErr w:type="spellStart"/>
      <w:r w:rsidR="00087195">
        <w:rPr>
          <w:sz w:val="22"/>
        </w:rPr>
        <w:t>napenetruje</w:t>
      </w:r>
      <w:proofErr w:type="spellEnd"/>
      <w:r w:rsidR="00E837A8">
        <w:rPr>
          <w:sz w:val="22"/>
        </w:rPr>
        <w:t>. Stávající teracová dlažba se přebrousí a očistí.</w:t>
      </w:r>
    </w:p>
    <w:p w:rsidR="00E837A8" w:rsidRPr="00E837A8" w:rsidRDefault="00087195" w:rsidP="002432DA">
      <w:pPr>
        <w:rPr>
          <w:sz w:val="22"/>
        </w:rPr>
      </w:pPr>
      <w:r>
        <w:rPr>
          <w:sz w:val="22"/>
        </w:rPr>
        <w:t>Po obvodě místnosti i kolem sloupů se provede nový keramický soklík výšky 100 mm.</w:t>
      </w:r>
    </w:p>
    <w:p w:rsidR="00964A37" w:rsidRPr="00087195" w:rsidRDefault="00964A37" w:rsidP="00964A37">
      <w:pPr>
        <w:pStyle w:val="Nadpis3"/>
      </w:pPr>
      <w:bookmarkStart w:id="22" w:name="_Toc501002440"/>
      <w:proofErr w:type="gramStart"/>
      <w:r w:rsidRPr="00087195">
        <w:t>D.3.</w:t>
      </w:r>
      <w:r w:rsidR="0079129B" w:rsidRPr="00087195">
        <w:t>n</w:t>
      </w:r>
      <w:r w:rsidRPr="00087195">
        <w:t xml:space="preserve"> </w:t>
      </w:r>
      <w:r w:rsidR="00157F56" w:rsidRPr="00087195">
        <w:tab/>
      </w:r>
      <w:r w:rsidRPr="00087195">
        <w:t>Zámečnické</w:t>
      </w:r>
      <w:proofErr w:type="gramEnd"/>
      <w:r w:rsidRPr="00087195">
        <w:t xml:space="preserve"> výrobky</w:t>
      </w:r>
      <w:bookmarkEnd w:id="22"/>
      <w:r w:rsidRPr="00087195">
        <w:t xml:space="preserve"> </w:t>
      </w:r>
    </w:p>
    <w:p w:rsidR="00087195" w:rsidRPr="00087195" w:rsidRDefault="00087195" w:rsidP="00C63673">
      <w:pPr>
        <w:rPr>
          <w:sz w:val="22"/>
          <w:szCs w:val="22"/>
        </w:rPr>
      </w:pPr>
      <w:r w:rsidRPr="00087195">
        <w:rPr>
          <w:sz w:val="22"/>
          <w:szCs w:val="22"/>
        </w:rPr>
        <w:t xml:space="preserve">Osadí se nový kovový </w:t>
      </w:r>
      <w:proofErr w:type="spellStart"/>
      <w:r w:rsidRPr="00087195">
        <w:rPr>
          <w:sz w:val="22"/>
          <w:szCs w:val="22"/>
        </w:rPr>
        <w:t>pororošt</w:t>
      </w:r>
      <w:proofErr w:type="spellEnd"/>
      <w:r w:rsidRPr="00087195">
        <w:rPr>
          <w:sz w:val="22"/>
          <w:szCs w:val="22"/>
        </w:rPr>
        <w:t xml:space="preserve"> pro zakrytí kanálku, rozměru 4780x600 mm, velikost oka 30x30 mm; </w:t>
      </w:r>
      <w:proofErr w:type="spellStart"/>
      <w:r w:rsidRPr="00087195">
        <w:rPr>
          <w:sz w:val="22"/>
          <w:szCs w:val="22"/>
        </w:rPr>
        <w:t>pororošt</w:t>
      </w:r>
      <w:proofErr w:type="spellEnd"/>
      <w:r w:rsidRPr="00087195">
        <w:rPr>
          <w:sz w:val="22"/>
          <w:szCs w:val="22"/>
        </w:rPr>
        <w:t xml:space="preserve"> se opatří základním a dvojnásobným krycím nátěrem.</w:t>
      </w:r>
    </w:p>
    <w:p w:rsidR="001A386C" w:rsidRPr="00E837A8" w:rsidRDefault="001A386C" w:rsidP="00436CD3">
      <w:pPr>
        <w:pStyle w:val="Nadpis3"/>
      </w:pPr>
      <w:bookmarkStart w:id="23" w:name="_Toc501002441"/>
      <w:proofErr w:type="gramStart"/>
      <w:r w:rsidRPr="00E837A8">
        <w:t>D.</w:t>
      </w:r>
      <w:r w:rsidR="00FD07A7" w:rsidRPr="00E837A8">
        <w:t>3</w:t>
      </w:r>
      <w:r w:rsidRPr="00E837A8">
        <w:t>.</w:t>
      </w:r>
      <w:r w:rsidR="0079129B" w:rsidRPr="00E837A8">
        <w:t>s</w:t>
      </w:r>
      <w:r w:rsidRPr="00E837A8">
        <w:t xml:space="preserve"> </w:t>
      </w:r>
      <w:r w:rsidR="00157F56" w:rsidRPr="00E837A8">
        <w:tab/>
      </w:r>
      <w:r w:rsidRPr="00E837A8">
        <w:t>Ostatní</w:t>
      </w:r>
      <w:proofErr w:type="gramEnd"/>
      <w:r w:rsidRPr="00E837A8">
        <w:t xml:space="preserve"> práce</w:t>
      </w:r>
      <w:bookmarkEnd w:id="23"/>
    </w:p>
    <w:p w:rsidR="00306733" w:rsidRDefault="00306733" w:rsidP="00436CD3">
      <w:pPr>
        <w:rPr>
          <w:sz w:val="22"/>
          <w:szCs w:val="22"/>
        </w:rPr>
      </w:pPr>
      <w:r>
        <w:rPr>
          <w:sz w:val="22"/>
          <w:szCs w:val="22"/>
        </w:rPr>
        <w:t>Nástupní a výstupní stupeň schodiště se opatří výstražným pruhem s protiskluzovou úpravou.</w:t>
      </w:r>
    </w:p>
    <w:p w:rsidR="00C45E0B" w:rsidRPr="00E837A8" w:rsidRDefault="00D6791C" w:rsidP="00436CD3">
      <w:pPr>
        <w:rPr>
          <w:sz w:val="22"/>
          <w:szCs w:val="22"/>
        </w:rPr>
      </w:pPr>
      <w:r w:rsidRPr="00E837A8">
        <w:rPr>
          <w:sz w:val="22"/>
          <w:szCs w:val="22"/>
        </w:rPr>
        <w:t>Prostupy t</w:t>
      </w:r>
      <w:r w:rsidR="008B5F4C" w:rsidRPr="00E837A8">
        <w:rPr>
          <w:sz w:val="22"/>
          <w:szCs w:val="22"/>
        </w:rPr>
        <w:t xml:space="preserve">rubního vedení vedoucí do samostatných požárních úseků </w:t>
      </w:r>
      <w:r w:rsidRPr="00E837A8">
        <w:rPr>
          <w:sz w:val="22"/>
          <w:szCs w:val="22"/>
        </w:rPr>
        <w:t>budou utěsněny požární ucpávkou dle čl. 7.5.8. ČSN EN 13501</w:t>
      </w:r>
      <w:r w:rsidR="008B5F4C" w:rsidRPr="00E837A8">
        <w:rPr>
          <w:sz w:val="22"/>
          <w:szCs w:val="22"/>
        </w:rPr>
        <w:t>.</w:t>
      </w:r>
    </w:p>
    <w:p w:rsidR="00EE6414" w:rsidRPr="00D519F4" w:rsidRDefault="00EE6414" w:rsidP="00436CD3">
      <w:pPr>
        <w:pStyle w:val="Nadpis2"/>
      </w:pPr>
      <w:bookmarkStart w:id="24" w:name="_Toc501002442"/>
      <w:proofErr w:type="gramStart"/>
      <w:r w:rsidRPr="00D519F4">
        <w:t>D.4</w:t>
      </w:r>
      <w:r w:rsidRPr="00D519F4">
        <w:tab/>
        <w:t>TECHNICKÉ</w:t>
      </w:r>
      <w:proofErr w:type="gramEnd"/>
      <w:r w:rsidRPr="00D519F4">
        <w:t xml:space="preserve"> VLASTNOSTI STAVBY</w:t>
      </w:r>
      <w:bookmarkEnd w:id="24"/>
    </w:p>
    <w:p w:rsidR="00EE6414" w:rsidRPr="00D519F4" w:rsidRDefault="00EE6414" w:rsidP="00436CD3">
      <w:pPr>
        <w:pStyle w:val="Nadpis3"/>
      </w:pPr>
      <w:bookmarkStart w:id="25" w:name="_Toc501002443"/>
      <w:proofErr w:type="gramStart"/>
      <w:r w:rsidRPr="00D519F4">
        <w:t xml:space="preserve">D.4.a </w:t>
      </w:r>
      <w:r w:rsidR="00157F56" w:rsidRPr="00D519F4">
        <w:tab/>
      </w:r>
      <w:r w:rsidRPr="00D519F4">
        <w:t>Stavební</w:t>
      </w:r>
      <w:proofErr w:type="gramEnd"/>
      <w:r w:rsidRPr="00D519F4">
        <w:t xml:space="preserve"> fyzika</w:t>
      </w:r>
      <w:bookmarkEnd w:id="25"/>
    </w:p>
    <w:p w:rsidR="00EE6414" w:rsidRPr="00D519F4" w:rsidRDefault="00EE6414" w:rsidP="00436CD3">
      <w:pPr>
        <w:pStyle w:val="Nadpis4"/>
      </w:pPr>
      <w:bookmarkStart w:id="26" w:name="_Toc501002444"/>
      <w:proofErr w:type="gramStart"/>
      <w:r w:rsidRPr="00D519F4">
        <w:t>D.4.a1</w:t>
      </w:r>
      <w:proofErr w:type="gramEnd"/>
      <w:r w:rsidRPr="00D519F4">
        <w:t xml:space="preserve"> Tepelná technika</w:t>
      </w:r>
      <w:bookmarkEnd w:id="26"/>
    </w:p>
    <w:p w:rsidR="00CC5905" w:rsidRPr="00D519F4" w:rsidRDefault="00AD5E57" w:rsidP="00CC5905">
      <w:pPr>
        <w:rPr>
          <w:sz w:val="22"/>
        </w:rPr>
      </w:pPr>
      <w:r w:rsidRPr="00D519F4">
        <w:t>Netýká se stavby.</w:t>
      </w:r>
    </w:p>
    <w:p w:rsidR="00EE6414" w:rsidRPr="00D519F4" w:rsidRDefault="00EE6414" w:rsidP="00436CD3">
      <w:pPr>
        <w:pStyle w:val="Nadpis4"/>
      </w:pPr>
      <w:bookmarkStart w:id="27" w:name="_Toc501002445"/>
      <w:proofErr w:type="gramStart"/>
      <w:r w:rsidRPr="00D519F4">
        <w:t>D.4.a.</w:t>
      </w:r>
      <w:proofErr w:type="gramEnd"/>
      <w:r w:rsidRPr="00D519F4">
        <w:t>2 Osvětlení</w:t>
      </w:r>
      <w:bookmarkEnd w:id="27"/>
    </w:p>
    <w:p w:rsidR="00BC56BF" w:rsidRPr="00D519F4" w:rsidRDefault="00167BA0" w:rsidP="006B18A6">
      <w:pPr>
        <w:rPr>
          <w:sz w:val="22"/>
          <w:szCs w:val="22"/>
        </w:rPr>
      </w:pPr>
      <w:r w:rsidRPr="00D519F4">
        <w:rPr>
          <w:sz w:val="22"/>
          <w:szCs w:val="22"/>
        </w:rPr>
        <w:t>Nemění se.</w:t>
      </w:r>
    </w:p>
    <w:p w:rsidR="00353B6B" w:rsidRPr="00D519F4" w:rsidRDefault="00EE6414" w:rsidP="00436CD3">
      <w:pPr>
        <w:pStyle w:val="Nadpis4"/>
      </w:pPr>
      <w:bookmarkStart w:id="28" w:name="_Toc501002446"/>
      <w:proofErr w:type="gramStart"/>
      <w:r w:rsidRPr="00D519F4">
        <w:t>D.4.a.</w:t>
      </w:r>
      <w:proofErr w:type="gramEnd"/>
      <w:r w:rsidRPr="00D519F4">
        <w:t>3 Oslunění</w:t>
      </w:r>
      <w:bookmarkEnd w:id="28"/>
    </w:p>
    <w:p w:rsidR="0094125E" w:rsidRPr="00D519F4" w:rsidRDefault="0079129B" w:rsidP="00436CD3">
      <w:r w:rsidRPr="00D519F4">
        <w:t>Netýká se stavby.</w:t>
      </w:r>
    </w:p>
    <w:p w:rsidR="00EE6414" w:rsidRPr="00D519F4" w:rsidRDefault="00347659" w:rsidP="00436CD3">
      <w:pPr>
        <w:pStyle w:val="Nadpis4"/>
      </w:pPr>
      <w:bookmarkStart w:id="29" w:name="_Toc501002447"/>
      <w:proofErr w:type="gramStart"/>
      <w:r w:rsidRPr="00D519F4">
        <w:t>D.4.a.</w:t>
      </w:r>
      <w:proofErr w:type="gramEnd"/>
      <w:r w:rsidRPr="00D519F4">
        <w:t>4 Akustika –</w:t>
      </w:r>
      <w:r w:rsidR="0036254B" w:rsidRPr="00D519F4">
        <w:t xml:space="preserve"> </w:t>
      </w:r>
      <w:r w:rsidRPr="00D519F4">
        <w:t>hluk, vibrace</w:t>
      </w:r>
      <w:bookmarkEnd w:id="29"/>
    </w:p>
    <w:p w:rsidR="00786DCE" w:rsidRPr="00D519F4" w:rsidRDefault="007E16A9" w:rsidP="004A07BF">
      <w:pPr>
        <w:tabs>
          <w:tab w:val="left" w:pos="7275"/>
        </w:tabs>
        <w:rPr>
          <w:sz w:val="22"/>
        </w:rPr>
      </w:pPr>
      <w:r w:rsidRPr="00D519F4">
        <w:rPr>
          <w:sz w:val="22"/>
        </w:rPr>
        <w:t>Strojní zařízení bude uloženo</w:t>
      </w:r>
      <w:r w:rsidR="00864785" w:rsidRPr="00D519F4">
        <w:rPr>
          <w:sz w:val="22"/>
        </w:rPr>
        <w:t xml:space="preserve"> na</w:t>
      </w:r>
      <w:r w:rsidRPr="00D519F4">
        <w:rPr>
          <w:sz w:val="22"/>
        </w:rPr>
        <w:t xml:space="preserve"> pryžových podložkách, součástí dodávky výměníku</w:t>
      </w:r>
      <w:r w:rsidR="0036254B" w:rsidRPr="00D519F4">
        <w:rPr>
          <w:sz w:val="22"/>
        </w:rPr>
        <w:t>.</w:t>
      </w:r>
      <w:r w:rsidRPr="00D519F4">
        <w:rPr>
          <w:sz w:val="22"/>
        </w:rPr>
        <w:t xml:space="preserve"> Pod stropem bude proveden akustický podhled, na stěnách akustický obklad.</w:t>
      </w:r>
      <w:r w:rsidR="00864785" w:rsidRPr="00D519F4">
        <w:rPr>
          <w:sz w:val="22"/>
        </w:rPr>
        <w:t xml:space="preserve"> </w:t>
      </w:r>
    </w:p>
    <w:p w:rsidR="00347659" w:rsidRPr="00D519F4" w:rsidRDefault="00347659" w:rsidP="00436CD3">
      <w:pPr>
        <w:pStyle w:val="Nadpis4"/>
      </w:pPr>
      <w:bookmarkStart w:id="30" w:name="_Toc501002448"/>
      <w:proofErr w:type="gramStart"/>
      <w:r w:rsidRPr="00D519F4">
        <w:t>D.4.a.</w:t>
      </w:r>
      <w:proofErr w:type="gramEnd"/>
      <w:r w:rsidRPr="00D519F4">
        <w:t>5 Výpis použitých norem</w:t>
      </w:r>
      <w:bookmarkEnd w:id="30"/>
    </w:p>
    <w:p w:rsidR="004920DF" w:rsidRPr="00D519F4" w:rsidRDefault="004920DF" w:rsidP="00B3715D">
      <w:pPr>
        <w:ind w:left="1560" w:hanging="1560"/>
        <w:jc w:val="left"/>
        <w:rPr>
          <w:sz w:val="22"/>
          <w:szCs w:val="22"/>
        </w:rPr>
      </w:pPr>
      <w:bookmarkStart w:id="31" w:name="OLE_LINK7"/>
      <w:bookmarkEnd w:id="3"/>
      <w:bookmarkEnd w:id="17"/>
      <w:r w:rsidRPr="00D519F4">
        <w:rPr>
          <w:sz w:val="22"/>
          <w:szCs w:val="22"/>
        </w:rPr>
        <w:t>Zákon č. 183/2006 Sb., o územním plánování a stavebním řádu (stavební zákon)</w:t>
      </w:r>
    </w:p>
    <w:p w:rsidR="00EA6A49" w:rsidRPr="00D519F4" w:rsidRDefault="004920DF" w:rsidP="00B3715D">
      <w:pPr>
        <w:ind w:left="1560" w:hanging="1560"/>
        <w:jc w:val="left"/>
        <w:rPr>
          <w:sz w:val="22"/>
          <w:szCs w:val="22"/>
        </w:rPr>
      </w:pPr>
      <w:r w:rsidRPr="00D519F4">
        <w:rPr>
          <w:sz w:val="22"/>
          <w:szCs w:val="22"/>
        </w:rPr>
        <w:t>Vyhláška č. 499/2006 Sb. ve znění změny 62/2013 Sb., o dokumentaci staveb</w:t>
      </w:r>
    </w:p>
    <w:p w:rsidR="004920DF" w:rsidRPr="00D519F4" w:rsidRDefault="004920DF" w:rsidP="00B3715D">
      <w:pPr>
        <w:ind w:left="1560" w:hanging="1560"/>
        <w:jc w:val="left"/>
        <w:rPr>
          <w:sz w:val="22"/>
          <w:szCs w:val="22"/>
        </w:rPr>
      </w:pPr>
      <w:r w:rsidRPr="00D519F4">
        <w:rPr>
          <w:sz w:val="22"/>
          <w:szCs w:val="22"/>
        </w:rPr>
        <w:t>Vyhláška č. 268/2009 Sb., o te</w:t>
      </w:r>
      <w:r w:rsidR="009514B6" w:rsidRPr="00D519F4">
        <w:rPr>
          <w:sz w:val="22"/>
          <w:szCs w:val="22"/>
        </w:rPr>
        <w:t>chnických požadavcích na stavby</w:t>
      </w:r>
    </w:p>
    <w:p w:rsidR="00A07F2E" w:rsidRPr="00D519F4" w:rsidRDefault="00E3453C" w:rsidP="00B3715D">
      <w:pPr>
        <w:ind w:left="1560" w:hanging="1560"/>
        <w:jc w:val="left"/>
        <w:rPr>
          <w:sz w:val="22"/>
          <w:szCs w:val="22"/>
        </w:rPr>
      </w:pPr>
      <w:r w:rsidRPr="00D519F4">
        <w:rPr>
          <w:sz w:val="22"/>
          <w:szCs w:val="22"/>
        </w:rPr>
        <w:t>Vyhláška č. 398/2009 Sb., o obecných technických požadavcích zabezpečujících bezbariérové užívání staveb</w:t>
      </w:r>
    </w:p>
    <w:p w:rsidR="001048DB" w:rsidRPr="00D519F4" w:rsidRDefault="00C45E0B" w:rsidP="00B3715D">
      <w:pPr>
        <w:ind w:left="1560" w:hanging="1560"/>
        <w:jc w:val="left"/>
        <w:rPr>
          <w:sz w:val="22"/>
          <w:szCs w:val="22"/>
        </w:rPr>
      </w:pPr>
      <w:r w:rsidRPr="00D519F4">
        <w:rPr>
          <w:sz w:val="22"/>
          <w:szCs w:val="22"/>
        </w:rPr>
        <w:t xml:space="preserve">ČSN </w:t>
      </w:r>
      <w:proofErr w:type="gramStart"/>
      <w:r w:rsidR="001048DB" w:rsidRPr="00D519F4">
        <w:rPr>
          <w:sz w:val="22"/>
          <w:szCs w:val="22"/>
        </w:rPr>
        <w:t>01 3405  výkresy</w:t>
      </w:r>
      <w:proofErr w:type="gramEnd"/>
      <w:r w:rsidR="001048DB" w:rsidRPr="00D519F4">
        <w:rPr>
          <w:sz w:val="22"/>
          <w:szCs w:val="22"/>
        </w:rPr>
        <w:t xml:space="preserve"> ve stavebnictví označování charakteristik přesnosti</w:t>
      </w:r>
    </w:p>
    <w:p w:rsidR="001048DB" w:rsidRPr="00D519F4" w:rsidRDefault="00C45E0B" w:rsidP="00B3715D">
      <w:pPr>
        <w:ind w:left="1560" w:hanging="1560"/>
        <w:jc w:val="left"/>
        <w:rPr>
          <w:sz w:val="22"/>
          <w:szCs w:val="22"/>
        </w:rPr>
      </w:pPr>
      <w:r w:rsidRPr="00D519F4">
        <w:rPr>
          <w:sz w:val="22"/>
          <w:szCs w:val="22"/>
        </w:rPr>
        <w:t xml:space="preserve">ČSN </w:t>
      </w:r>
      <w:proofErr w:type="gramStart"/>
      <w:r w:rsidR="001048DB" w:rsidRPr="00D519F4">
        <w:rPr>
          <w:sz w:val="22"/>
          <w:szCs w:val="22"/>
        </w:rPr>
        <w:t>01 3406  výkresy</w:t>
      </w:r>
      <w:proofErr w:type="gramEnd"/>
      <w:r w:rsidR="001048DB" w:rsidRPr="00D519F4">
        <w:rPr>
          <w:sz w:val="22"/>
          <w:szCs w:val="22"/>
        </w:rPr>
        <w:t xml:space="preserve"> ve stavebnictví označování stavebních hmot v řezech</w:t>
      </w:r>
    </w:p>
    <w:p w:rsidR="001048DB" w:rsidRPr="00D519F4" w:rsidRDefault="00C45E0B" w:rsidP="00B3715D">
      <w:pPr>
        <w:ind w:left="1560" w:hanging="1560"/>
        <w:jc w:val="left"/>
        <w:rPr>
          <w:sz w:val="22"/>
          <w:szCs w:val="22"/>
        </w:rPr>
      </w:pPr>
      <w:r w:rsidRPr="00D519F4">
        <w:rPr>
          <w:sz w:val="22"/>
          <w:szCs w:val="22"/>
        </w:rPr>
        <w:t xml:space="preserve">ČSN </w:t>
      </w:r>
      <w:proofErr w:type="gramStart"/>
      <w:r w:rsidR="001048DB" w:rsidRPr="00D519F4">
        <w:rPr>
          <w:sz w:val="22"/>
          <w:szCs w:val="22"/>
        </w:rPr>
        <w:t>01 3420  výkresy</w:t>
      </w:r>
      <w:proofErr w:type="gramEnd"/>
      <w:r w:rsidR="001048DB" w:rsidRPr="00D519F4">
        <w:rPr>
          <w:sz w:val="22"/>
          <w:szCs w:val="22"/>
        </w:rPr>
        <w:t xml:space="preserve"> pozemních staveb - kreslení výkresů stavební části</w:t>
      </w:r>
    </w:p>
    <w:p w:rsidR="006B2BA1" w:rsidRPr="00D519F4" w:rsidRDefault="006B2BA1" w:rsidP="00B3715D">
      <w:pPr>
        <w:ind w:left="1560" w:hanging="1560"/>
        <w:jc w:val="left"/>
        <w:rPr>
          <w:sz w:val="22"/>
          <w:szCs w:val="22"/>
        </w:rPr>
      </w:pPr>
      <w:r w:rsidRPr="00D519F4">
        <w:rPr>
          <w:sz w:val="22"/>
          <w:szCs w:val="22"/>
        </w:rPr>
        <w:t xml:space="preserve">ČSN EN ISO 7518   Výkresy pozemních staveb – Kreslení demolic a přestaveb, </w:t>
      </w:r>
      <w:proofErr w:type="gramStart"/>
      <w:r w:rsidRPr="00D519F4">
        <w:rPr>
          <w:sz w:val="22"/>
          <w:szCs w:val="22"/>
        </w:rPr>
        <w:t>01.10.2000</w:t>
      </w:r>
      <w:proofErr w:type="gramEnd"/>
      <w:r w:rsidRPr="00D519F4">
        <w:rPr>
          <w:sz w:val="22"/>
          <w:szCs w:val="22"/>
        </w:rPr>
        <w:t>,</w:t>
      </w:r>
    </w:p>
    <w:p w:rsidR="00E3453C" w:rsidRPr="00D519F4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sz w:val="22"/>
          <w:szCs w:val="22"/>
        </w:rPr>
      </w:pPr>
      <w:r w:rsidRPr="00D519F4">
        <w:rPr>
          <w:rFonts w:ascii="Times New Roman" w:eastAsia="MS Mincho" w:hAnsi="Times New Roman"/>
          <w:sz w:val="22"/>
          <w:szCs w:val="22"/>
        </w:rPr>
        <w:t xml:space="preserve">ČSN P 73 0600  Hydroizolace staveb – Základní ustanovení, </w:t>
      </w:r>
      <w:proofErr w:type="gramStart"/>
      <w:r w:rsidRPr="00D519F4">
        <w:rPr>
          <w:rFonts w:ascii="Times New Roman" w:eastAsia="MS Mincho" w:hAnsi="Times New Roman"/>
          <w:sz w:val="22"/>
          <w:szCs w:val="22"/>
        </w:rPr>
        <w:t>01.11.2000</w:t>
      </w:r>
      <w:proofErr w:type="gramEnd"/>
      <w:r w:rsidRPr="00D519F4">
        <w:rPr>
          <w:rFonts w:ascii="Times New Roman" w:eastAsia="MS Mincho" w:hAnsi="Times New Roman"/>
          <w:sz w:val="22"/>
          <w:szCs w:val="22"/>
        </w:rPr>
        <w:t>,</w:t>
      </w:r>
    </w:p>
    <w:p w:rsidR="00E3453C" w:rsidRPr="00D519F4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sz w:val="22"/>
          <w:szCs w:val="22"/>
        </w:rPr>
      </w:pPr>
      <w:r w:rsidRPr="00D519F4">
        <w:rPr>
          <w:rFonts w:ascii="Times New Roman" w:eastAsia="MS Mincho" w:hAnsi="Times New Roman"/>
          <w:sz w:val="22"/>
          <w:szCs w:val="22"/>
        </w:rPr>
        <w:t xml:space="preserve">ČSN P 73 0606  Hydroizolace staveb – Povlakové hydroizolace – Základní ustanovení, </w:t>
      </w:r>
      <w:proofErr w:type="gramStart"/>
      <w:r w:rsidRPr="00D519F4">
        <w:rPr>
          <w:rFonts w:ascii="Times New Roman" w:eastAsia="MS Mincho" w:hAnsi="Times New Roman"/>
          <w:sz w:val="22"/>
          <w:szCs w:val="22"/>
        </w:rPr>
        <w:t>01.11.2000</w:t>
      </w:r>
      <w:proofErr w:type="gramEnd"/>
      <w:r w:rsidRPr="00D519F4">
        <w:rPr>
          <w:rFonts w:ascii="Times New Roman" w:eastAsia="MS Mincho" w:hAnsi="Times New Roman"/>
          <w:sz w:val="22"/>
          <w:szCs w:val="22"/>
        </w:rPr>
        <w:t>,</w:t>
      </w:r>
    </w:p>
    <w:p w:rsidR="00E3453C" w:rsidRPr="00D519F4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sz w:val="22"/>
          <w:szCs w:val="22"/>
        </w:rPr>
      </w:pPr>
      <w:r w:rsidRPr="00D519F4">
        <w:rPr>
          <w:rFonts w:ascii="Times New Roman" w:eastAsia="MS Mincho" w:hAnsi="Times New Roman"/>
          <w:sz w:val="22"/>
          <w:szCs w:val="22"/>
        </w:rPr>
        <w:t xml:space="preserve">ČSN  73 3714  Navrhování, příprava a provádění vnitřních cementových a/nebo vápenných omítkových systémů, </w:t>
      </w:r>
      <w:proofErr w:type="gramStart"/>
      <w:r w:rsidRPr="00D519F4">
        <w:rPr>
          <w:rFonts w:ascii="Times New Roman" w:eastAsia="MS Mincho" w:hAnsi="Times New Roman"/>
          <w:sz w:val="22"/>
          <w:szCs w:val="22"/>
        </w:rPr>
        <w:t>01.07.2006</w:t>
      </w:r>
      <w:proofErr w:type="gramEnd"/>
      <w:r w:rsidRPr="00D519F4">
        <w:rPr>
          <w:rFonts w:ascii="Times New Roman" w:eastAsia="MS Mincho" w:hAnsi="Times New Roman"/>
          <w:sz w:val="22"/>
          <w:szCs w:val="22"/>
        </w:rPr>
        <w:t>,</w:t>
      </w:r>
    </w:p>
    <w:p w:rsidR="00E3453C" w:rsidRPr="00D519F4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sz w:val="22"/>
          <w:szCs w:val="22"/>
        </w:rPr>
      </w:pPr>
      <w:r w:rsidRPr="00D519F4">
        <w:rPr>
          <w:rFonts w:ascii="Times New Roman" w:eastAsia="MS Mincho" w:hAnsi="Times New Roman"/>
          <w:sz w:val="22"/>
          <w:szCs w:val="22"/>
        </w:rPr>
        <w:t xml:space="preserve">ČSN  74 4505  Podlahy – Společné ustanovení, </w:t>
      </w:r>
      <w:proofErr w:type="gramStart"/>
      <w:r w:rsidRPr="00D519F4">
        <w:rPr>
          <w:rFonts w:ascii="Times New Roman" w:eastAsia="MS Mincho" w:hAnsi="Times New Roman"/>
          <w:sz w:val="22"/>
          <w:szCs w:val="22"/>
        </w:rPr>
        <w:t>01.05.2012</w:t>
      </w:r>
      <w:proofErr w:type="gramEnd"/>
      <w:r w:rsidRPr="00D519F4">
        <w:rPr>
          <w:rFonts w:ascii="Times New Roman" w:eastAsia="MS Mincho" w:hAnsi="Times New Roman"/>
          <w:sz w:val="22"/>
          <w:szCs w:val="22"/>
        </w:rPr>
        <w:t>,</w:t>
      </w:r>
    </w:p>
    <w:p w:rsidR="00E3453C" w:rsidRPr="00D519F4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sz w:val="22"/>
          <w:szCs w:val="22"/>
        </w:rPr>
      </w:pPr>
      <w:r w:rsidRPr="00D519F4">
        <w:rPr>
          <w:rFonts w:ascii="Times New Roman" w:eastAsia="MS Mincho" w:hAnsi="Times New Roman"/>
          <w:sz w:val="22"/>
          <w:szCs w:val="22"/>
        </w:rPr>
        <w:t xml:space="preserve">ČSN EN 13670  Provádění betonových konstrukcí, </w:t>
      </w:r>
      <w:proofErr w:type="gramStart"/>
      <w:r w:rsidRPr="00D519F4">
        <w:rPr>
          <w:rFonts w:ascii="Times New Roman" w:eastAsia="MS Mincho" w:hAnsi="Times New Roman"/>
          <w:sz w:val="22"/>
          <w:szCs w:val="22"/>
        </w:rPr>
        <w:t>01.06.2010</w:t>
      </w:r>
      <w:proofErr w:type="gramEnd"/>
      <w:r w:rsidRPr="00D519F4">
        <w:rPr>
          <w:rFonts w:ascii="Times New Roman" w:eastAsia="MS Mincho" w:hAnsi="Times New Roman"/>
          <w:sz w:val="22"/>
          <w:szCs w:val="22"/>
        </w:rPr>
        <w:t>,</w:t>
      </w:r>
    </w:p>
    <w:p w:rsidR="00E3453C" w:rsidRPr="00D519F4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sz w:val="22"/>
          <w:szCs w:val="22"/>
        </w:rPr>
      </w:pPr>
      <w:r w:rsidRPr="00D519F4">
        <w:rPr>
          <w:rFonts w:ascii="Times New Roman" w:eastAsia="MS Mincho" w:hAnsi="Times New Roman"/>
          <w:sz w:val="22"/>
          <w:szCs w:val="22"/>
        </w:rPr>
        <w:t xml:space="preserve">ČSN EN 13813  Potěrové materiály a podlahové potěry – Potěrové materiály – Vlastnosti a požadavky, </w:t>
      </w:r>
      <w:proofErr w:type="gramStart"/>
      <w:r w:rsidRPr="00D519F4">
        <w:rPr>
          <w:rFonts w:ascii="Times New Roman" w:eastAsia="MS Mincho" w:hAnsi="Times New Roman"/>
          <w:sz w:val="22"/>
          <w:szCs w:val="22"/>
        </w:rPr>
        <w:t>01.11.2003</w:t>
      </w:r>
      <w:proofErr w:type="gramEnd"/>
      <w:r w:rsidRPr="00D519F4">
        <w:rPr>
          <w:rFonts w:ascii="Times New Roman" w:eastAsia="MS Mincho" w:hAnsi="Times New Roman"/>
          <w:sz w:val="22"/>
          <w:szCs w:val="22"/>
        </w:rPr>
        <w:t>,</w:t>
      </w:r>
    </w:p>
    <w:p w:rsidR="00E3453C" w:rsidRPr="00D519F4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sz w:val="22"/>
          <w:szCs w:val="22"/>
        </w:rPr>
      </w:pPr>
      <w:r w:rsidRPr="00D519F4">
        <w:rPr>
          <w:rFonts w:ascii="Times New Roman" w:eastAsia="MS Mincho" w:hAnsi="Times New Roman"/>
          <w:sz w:val="22"/>
          <w:szCs w:val="22"/>
        </w:rPr>
        <w:lastRenderedPageBreak/>
        <w:t xml:space="preserve">ČSN EN 13914-1  Navrhování, příprava a provádění vnějších a vnitřních omítek – Část 1: Vnější omítky, </w:t>
      </w:r>
      <w:proofErr w:type="gramStart"/>
      <w:r w:rsidRPr="00D519F4">
        <w:rPr>
          <w:rFonts w:ascii="Times New Roman" w:eastAsia="MS Mincho" w:hAnsi="Times New Roman"/>
          <w:sz w:val="22"/>
          <w:szCs w:val="22"/>
        </w:rPr>
        <w:t>01.01.2006</w:t>
      </w:r>
      <w:proofErr w:type="gramEnd"/>
      <w:r w:rsidRPr="00D519F4">
        <w:rPr>
          <w:rFonts w:ascii="Times New Roman" w:eastAsia="MS Mincho" w:hAnsi="Times New Roman"/>
          <w:sz w:val="22"/>
          <w:szCs w:val="22"/>
        </w:rPr>
        <w:t>,</w:t>
      </w:r>
    </w:p>
    <w:p w:rsidR="00E3453C" w:rsidRPr="00D519F4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sz w:val="22"/>
          <w:szCs w:val="22"/>
        </w:rPr>
      </w:pPr>
      <w:r w:rsidRPr="00D519F4">
        <w:rPr>
          <w:rFonts w:ascii="Times New Roman" w:eastAsia="MS Mincho" w:hAnsi="Times New Roman"/>
          <w:sz w:val="22"/>
          <w:szCs w:val="22"/>
        </w:rPr>
        <w:t xml:space="preserve">ČSN EN 13914-2  Navrhování, příprava a provádění vnějších a vnitřních omítek – Část 2: Příprava návrhu a základní postupy pro vnitřní omítky, </w:t>
      </w:r>
      <w:proofErr w:type="gramStart"/>
      <w:r w:rsidRPr="00D519F4">
        <w:rPr>
          <w:rFonts w:ascii="Times New Roman" w:eastAsia="MS Mincho" w:hAnsi="Times New Roman"/>
          <w:sz w:val="22"/>
          <w:szCs w:val="22"/>
        </w:rPr>
        <w:t>01.01.2006</w:t>
      </w:r>
      <w:proofErr w:type="gramEnd"/>
      <w:r w:rsidRPr="00D519F4">
        <w:rPr>
          <w:rFonts w:ascii="Times New Roman" w:eastAsia="MS Mincho" w:hAnsi="Times New Roman"/>
          <w:sz w:val="22"/>
          <w:szCs w:val="22"/>
        </w:rPr>
        <w:t>,</w:t>
      </w:r>
    </w:p>
    <w:p w:rsidR="00E3453C" w:rsidRPr="00D519F4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sz w:val="22"/>
          <w:szCs w:val="22"/>
        </w:rPr>
      </w:pPr>
      <w:r w:rsidRPr="00D519F4">
        <w:rPr>
          <w:rFonts w:ascii="Times New Roman" w:eastAsia="MS Mincho" w:hAnsi="Times New Roman"/>
          <w:sz w:val="22"/>
          <w:szCs w:val="22"/>
        </w:rPr>
        <w:t xml:space="preserve">ČSN EN ISO 717-1  Akustika – Hodnocení zvukové izolace stavebních konstrukcí a v budovách – Část 1: Vzduchová neprůzvučnost, </w:t>
      </w:r>
      <w:proofErr w:type="gramStart"/>
      <w:r w:rsidRPr="00D519F4">
        <w:rPr>
          <w:rFonts w:ascii="Times New Roman" w:eastAsia="MS Mincho" w:hAnsi="Times New Roman"/>
          <w:sz w:val="22"/>
          <w:szCs w:val="22"/>
        </w:rPr>
        <w:t>01.06.1998</w:t>
      </w:r>
      <w:proofErr w:type="gramEnd"/>
      <w:r w:rsidRPr="00D519F4">
        <w:rPr>
          <w:rFonts w:ascii="Times New Roman" w:eastAsia="MS Mincho" w:hAnsi="Times New Roman"/>
          <w:sz w:val="22"/>
          <w:szCs w:val="22"/>
        </w:rPr>
        <w:t>,</w:t>
      </w:r>
    </w:p>
    <w:p w:rsidR="00E3453C" w:rsidRPr="00D519F4" w:rsidRDefault="00E3453C" w:rsidP="00B3715D">
      <w:pPr>
        <w:pStyle w:val="Prosttext"/>
        <w:ind w:left="1560" w:hanging="1560"/>
        <w:jc w:val="left"/>
        <w:rPr>
          <w:rFonts w:ascii="Times New Roman" w:eastAsia="MS Mincho" w:hAnsi="Times New Roman"/>
          <w:sz w:val="22"/>
          <w:szCs w:val="22"/>
        </w:rPr>
      </w:pPr>
      <w:r w:rsidRPr="00D519F4">
        <w:rPr>
          <w:rFonts w:ascii="Times New Roman" w:eastAsia="MS Mincho" w:hAnsi="Times New Roman"/>
          <w:sz w:val="22"/>
          <w:szCs w:val="22"/>
        </w:rPr>
        <w:t xml:space="preserve">ČSN EN ISO 717-2  Akustika – Hodnocení zvukové izolace stavebních konstrukcí a v budovách – Část 2: Kročejová neprůzvučnost, </w:t>
      </w:r>
      <w:proofErr w:type="gramStart"/>
      <w:r w:rsidRPr="00D519F4">
        <w:rPr>
          <w:rFonts w:ascii="Times New Roman" w:eastAsia="MS Mincho" w:hAnsi="Times New Roman"/>
          <w:sz w:val="22"/>
          <w:szCs w:val="22"/>
        </w:rPr>
        <w:t>01.06.1998</w:t>
      </w:r>
      <w:proofErr w:type="gramEnd"/>
      <w:r w:rsidRPr="00D519F4">
        <w:rPr>
          <w:rFonts w:ascii="Times New Roman" w:eastAsia="MS Mincho" w:hAnsi="Times New Roman"/>
          <w:sz w:val="22"/>
          <w:szCs w:val="22"/>
        </w:rPr>
        <w:t>,</w:t>
      </w:r>
    </w:p>
    <w:p w:rsidR="00E3453C" w:rsidRDefault="00E3453C" w:rsidP="00E3453C">
      <w:pPr>
        <w:pStyle w:val="Prosttext"/>
        <w:rPr>
          <w:rFonts w:ascii="Times New Roman" w:eastAsia="MS Mincho" w:hAnsi="Times New Roman"/>
          <w:sz w:val="22"/>
          <w:szCs w:val="22"/>
        </w:rPr>
      </w:pPr>
    </w:p>
    <w:p w:rsidR="00DA744C" w:rsidRPr="00865199" w:rsidRDefault="00DA744C" w:rsidP="00E3453C">
      <w:pPr>
        <w:pStyle w:val="Prosttext"/>
        <w:rPr>
          <w:rFonts w:ascii="Times New Roman" w:eastAsia="MS Mincho" w:hAnsi="Times New Roman"/>
          <w:sz w:val="22"/>
          <w:szCs w:val="22"/>
        </w:rPr>
      </w:pPr>
    </w:p>
    <w:p w:rsidR="009F4916" w:rsidRPr="002227FC" w:rsidRDefault="00EA6A49" w:rsidP="00E3453C">
      <w:pPr>
        <w:tabs>
          <w:tab w:val="right" w:pos="9072"/>
        </w:tabs>
        <w:rPr>
          <w:color w:val="000000" w:themeColor="text1"/>
        </w:rPr>
      </w:pPr>
      <w:r w:rsidRPr="002227FC">
        <w:rPr>
          <w:color w:val="000000" w:themeColor="text1"/>
          <w:sz w:val="22"/>
          <w:szCs w:val="22"/>
        </w:rPr>
        <w:t xml:space="preserve">V Ostravě </w:t>
      </w:r>
      <w:r w:rsidR="002227FC" w:rsidRPr="002227FC">
        <w:rPr>
          <w:color w:val="000000" w:themeColor="text1"/>
          <w:sz w:val="22"/>
          <w:szCs w:val="22"/>
        </w:rPr>
        <w:t>dne 1</w:t>
      </w:r>
      <w:r w:rsidR="00FE75B6">
        <w:rPr>
          <w:color w:val="000000" w:themeColor="text1"/>
          <w:sz w:val="22"/>
          <w:szCs w:val="22"/>
        </w:rPr>
        <w:t>2</w:t>
      </w:r>
      <w:r w:rsidR="002227FC" w:rsidRPr="002227FC">
        <w:rPr>
          <w:color w:val="000000" w:themeColor="text1"/>
          <w:sz w:val="22"/>
          <w:szCs w:val="22"/>
        </w:rPr>
        <w:t>/</w:t>
      </w:r>
      <w:r w:rsidRPr="002227FC">
        <w:rPr>
          <w:color w:val="000000" w:themeColor="text1"/>
          <w:sz w:val="22"/>
          <w:szCs w:val="22"/>
        </w:rPr>
        <w:t>201</w:t>
      </w:r>
      <w:r w:rsidR="002227FC" w:rsidRPr="002227FC">
        <w:rPr>
          <w:color w:val="000000" w:themeColor="text1"/>
          <w:sz w:val="22"/>
          <w:szCs w:val="22"/>
        </w:rPr>
        <w:t>7</w:t>
      </w:r>
      <w:r w:rsidRPr="002227FC">
        <w:rPr>
          <w:color w:val="000000" w:themeColor="text1"/>
          <w:sz w:val="22"/>
          <w:szCs w:val="22"/>
        </w:rPr>
        <w:tab/>
      </w:r>
      <w:bookmarkEnd w:id="31"/>
      <w:r w:rsidR="006B2BA1" w:rsidRPr="002227FC">
        <w:rPr>
          <w:color w:val="000000" w:themeColor="text1"/>
          <w:sz w:val="22"/>
          <w:szCs w:val="22"/>
        </w:rPr>
        <w:t xml:space="preserve">Ing. </w:t>
      </w:r>
      <w:r w:rsidR="0017694D" w:rsidRPr="002227FC">
        <w:rPr>
          <w:color w:val="000000" w:themeColor="text1"/>
          <w:sz w:val="22"/>
          <w:szCs w:val="22"/>
        </w:rPr>
        <w:t>Václav</w:t>
      </w:r>
      <w:r w:rsidR="006B2BA1" w:rsidRPr="002227FC">
        <w:rPr>
          <w:color w:val="000000" w:themeColor="text1"/>
          <w:sz w:val="22"/>
          <w:szCs w:val="22"/>
        </w:rPr>
        <w:t xml:space="preserve"> </w:t>
      </w:r>
      <w:proofErr w:type="spellStart"/>
      <w:r w:rsidR="0017694D" w:rsidRPr="002227FC">
        <w:rPr>
          <w:color w:val="000000" w:themeColor="text1"/>
          <w:sz w:val="22"/>
          <w:szCs w:val="22"/>
        </w:rPr>
        <w:t>Mon</w:t>
      </w:r>
      <w:r w:rsidR="006B2BA1" w:rsidRPr="002227FC">
        <w:rPr>
          <w:color w:val="000000" w:themeColor="text1"/>
          <w:sz w:val="22"/>
          <w:szCs w:val="22"/>
        </w:rPr>
        <w:t>č</w:t>
      </w:r>
      <w:r w:rsidR="0017694D" w:rsidRPr="002227FC">
        <w:rPr>
          <w:color w:val="000000" w:themeColor="text1"/>
          <w:sz w:val="22"/>
          <w:szCs w:val="22"/>
        </w:rPr>
        <w:t>ka</w:t>
      </w:r>
      <w:proofErr w:type="spellEnd"/>
      <w:r w:rsidR="006B2BA1" w:rsidRPr="002227FC">
        <w:rPr>
          <w:color w:val="000000" w:themeColor="text1"/>
          <w:sz w:val="22"/>
          <w:szCs w:val="22"/>
        </w:rPr>
        <w:t xml:space="preserve"> </w:t>
      </w:r>
    </w:p>
    <w:sectPr w:rsidR="009F4916" w:rsidRPr="002227FC" w:rsidSect="00E3453C">
      <w:headerReference w:type="default" r:id="rId9"/>
      <w:pgSz w:w="11907" w:h="16840" w:code="9"/>
      <w:pgMar w:top="1134" w:right="992" w:bottom="1134" w:left="1418" w:header="709" w:footer="709" w:gutter="0"/>
      <w:pgNumType w:start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3E3" w:rsidRDefault="00EF33E3" w:rsidP="00436CD3">
      <w:r>
        <w:separator/>
      </w:r>
    </w:p>
  </w:endnote>
  <w:endnote w:type="continuationSeparator" w:id="0">
    <w:p w:rsidR="00EF33E3" w:rsidRDefault="00EF33E3" w:rsidP="00436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tučné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3E3" w:rsidRDefault="00EF33E3" w:rsidP="00436CD3">
      <w:r>
        <w:separator/>
      </w:r>
    </w:p>
  </w:footnote>
  <w:footnote w:type="continuationSeparator" w:id="0">
    <w:p w:rsidR="00EF33E3" w:rsidRDefault="00EF33E3" w:rsidP="00436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3E3" w:rsidRPr="00EB4929" w:rsidRDefault="00EF33E3" w:rsidP="00157F56">
    <w:pPr>
      <w:tabs>
        <w:tab w:val="right" w:pos="9498"/>
      </w:tabs>
      <w:rPr>
        <w:sz w:val="20"/>
        <w:szCs w:val="20"/>
        <w:u w:val="single"/>
      </w:rPr>
    </w:pPr>
    <w:r w:rsidRPr="00703D47">
      <w:rPr>
        <w:sz w:val="20"/>
        <w:szCs w:val="20"/>
        <w:u w:val="single"/>
      </w:rPr>
      <w:t>32</w:t>
    </w:r>
    <w:r>
      <w:rPr>
        <w:sz w:val="20"/>
        <w:szCs w:val="20"/>
        <w:u w:val="single"/>
      </w:rPr>
      <w:t>67</w:t>
    </w:r>
    <w:r w:rsidRPr="00703D47">
      <w:rPr>
        <w:sz w:val="20"/>
        <w:szCs w:val="20"/>
        <w:u w:val="single"/>
      </w:rPr>
      <w:t xml:space="preserve"> – </w:t>
    </w:r>
    <w:r>
      <w:rPr>
        <w:sz w:val="20"/>
        <w:szCs w:val="20"/>
        <w:u w:val="single"/>
      </w:rPr>
      <w:t>R</w:t>
    </w:r>
    <w:r w:rsidRPr="00703D47">
      <w:rPr>
        <w:sz w:val="20"/>
        <w:szCs w:val="20"/>
        <w:u w:val="single"/>
      </w:rPr>
      <w:t>ekonstrukce</w:t>
    </w:r>
    <w:r>
      <w:rPr>
        <w:sz w:val="20"/>
        <w:szCs w:val="20"/>
        <w:u w:val="single"/>
      </w:rPr>
      <w:t xml:space="preserve"> předávací stanice v budově „Stará menza“,</w:t>
    </w:r>
    <w:r w:rsidRPr="00703D47">
      <w:rPr>
        <w:sz w:val="20"/>
        <w:szCs w:val="20"/>
        <w:u w:val="single"/>
      </w:rPr>
      <w:t xml:space="preserve"> VŠB-TU Ostrava</w:t>
    </w:r>
    <w:r w:rsidRPr="00832DAB">
      <w:rPr>
        <w:sz w:val="20"/>
        <w:szCs w:val="20"/>
        <w:u w:val="single"/>
      </w:rPr>
      <w:t xml:space="preserve"> </w:t>
    </w:r>
    <w:r>
      <w:rPr>
        <w:sz w:val="20"/>
        <w:szCs w:val="20"/>
        <w:u w:val="single"/>
      </w:rPr>
      <w:t>– DSJ, SO-01</w:t>
    </w:r>
    <w:r w:rsidRPr="00EB4929">
      <w:rPr>
        <w:sz w:val="20"/>
        <w:szCs w:val="20"/>
        <w:u w:val="single"/>
      </w:rPr>
      <w:tab/>
      <w:t xml:space="preserve">strana </w:t>
    </w:r>
    <w:r w:rsidR="00301ADB" w:rsidRPr="00EB4929">
      <w:rPr>
        <w:rStyle w:val="slostrnky"/>
        <w:sz w:val="20"/>
        <w:szCs w:val="20"/>
        <w:u w:val="single"/>
      </w:rPr>
      <w:fldChar w:fldCharType="begin"/>
    </w:r>
    <w:r w:rsidRPr="00EB4929">
      <w:rPr>
        <w:rStyle w:val="slostrnky"/>
        <w:sz w:val="20"/>
        <w:szCs w:val="20"/>
        <w:u w:val="single"/>
      </w:rPr>
      <w:instrText xml:space="preserve"> PAGE </w:instrText>
    </w:r>
    <w:r w:rsidR="00301ADB" w:rsidRPr="00EB4929">
      <w:rPr>
        <w:rStyle w:val="slostrnky"/>
        <w:sz w:val="20"/>
        <w:szCs w:val="20"/>
        <w:u w:val="single"/>
      </w:rPr>
      <w:fldChar w:fldCharType="separate"/>
    </w:r>
    <w:r w:rsidR="00A521D1">
      <w:rPr>
        <w:rStyle w:val="slostrnky"/>
        <w:noProof/>
        <w:sz w:val="20"/>
        <w:szCs w:val="20"/>
        <w:u w:val="single"/>
      </w:rPr>
      <w:t>4</w:t>
    </w:r>
    <w:r w:rsidR="00301ADB" w:rsidRPr="00EB4929">
      <w:rPr>
        <w:rStyle w:val="slostrnky"/>
        <w:sz w:val="20"/>
        <w:szCs w:val="20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4C6D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1B4D2C"/>
    <w:multiLevelType w:val="hybridMultilevel"/>
    <w:tmpl w:val="6F487CC8"/>
    <w:lvl w:ilvl="0" w:tplc="EC30A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2314F6"/>
    <w:multiLevelType w:val="hybridMultilevel"/>
    <w:tmpl w:val="81E83768"/>
    <w:lvl w:ilvl="0" w:tplc="9962D2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B3CA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F93829"/>
    <w:multiLevelType w:val="singleLevel"/>
    <w:tmpl w:val="5F06DB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67072EE"/>
    <w:multiLevelType w:val="hybridMultilevel"/>
    <w:tmpl w:val="A87669A0"/>
    <w:lvl w:ilvl="0" w:tplc="3E1069DC">
      <w:start w:val="1"/>
      <w:numFmt w:val="upperLetter"/>
      <w:lvlText w:val="%1."/>
      <w:lvlJc w:val="left"/>
      <w:pPr>
        <w:ind w:left="2482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6">
    <w:nsid w:val="18116A97"/>
    <w:multiLevelType w:val="singleLevel"/>
    <w:tmpl w:val="F5B0ED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1D3B1E30"/>
    <w:multiLevelType w:val="hybridMultilevel"/>
    <w:tmpl w:val="553A2870"/>
    <w:lvl w:ilvl="0" w:tplc="840AFABA">
      <w:start w:val="4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E7D67"/>
    <w:multiLevelType w:val="hybridMultilevel"/>
    <w:tmpl w:val="0C46180E"/>
    <w:lvl w:ilvl="0" w:tplc="42E4960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F513F9"/>
    <w:multiLevelType w:val="hybridMultilevel"/>
    <w:tmpl w:val="CE029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A54D39"/>
    <w:multiLevelType w:val="hybridMultilevel"/>
    <w:tmpl w:val="A224C3C0"/>
    <w:lvl w:ilvl="0" w:tplc="364E98A4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8D1266"/>
    <w:multiLevelType w:val="hybridMultilevel"/>
    <w:tmpl w:val="608E9F38"/>
    <w:lvl w:ilvl="0" w:tplc="9962D2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DB14A7"/>
    <w:multiLevelType w:val="multilevel"/>
    <w:tmpl w:val="54D866F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7B0A7DF2"/>
    <w:multiLevelType w:val="singleLevel"/>
    <w:tmpl w:val="B5262AF4"/>
    <w:lvl w:ilvl="0">
      <w:start w:val="1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5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  <w:num w:numId="12">
    <w:abstractNumId w:val="3"/>
  </w:num>
  <w:num w:numId="13">
    <w:abstractNumId w:val="4"/>
  </w:num>
  <w:num w:numId="14">
    <w:abstractNumId w:val="0"/>
  </w:num>
  <w:num w:numId="15">
    <w:abstractNumId w:val="10"/>
  </w:num>
  <w:num w:numId="16">
    <w:abstractNumId w:val="13"/>
  </w:num>
  <w:num w:numId="17">
    <w:abstractNumId w:val="6"/>
  </w:num>
  <w:num w:numId="18">
    <w:abstractNumId w:val="11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A49"/>
    <w:rsid w:val="00001AAC"/>
    <w:rsid w:val="0000211F"/>
    <w:rsid w:val="00002641"/>
    <w:rsid w:val="00014E3B"/>
    <w:rsid w:val="00015AB8"/>
    <w:rsid w:val="00020AAE"/>
    <w:rsid w:val="00032A2E"/>
    <w:rsid w:val="00036E3D"/>
    <w:rsid w:val="000438D5"/>
    <w:rsid w:val="00066131"/>
    <w:rsid w:val="00066888"/>
    <w:rsid w:val="00067B11"/>
    <w:rsid w:val="00072F4D"/>
    <w:rsid w:val="0008145A"/>
    <w:rsid w:val="0008211A"/>
    <w:rsid w:val="00085AD9"/>
    <w:rsid w:val="00085C97"/>
    <w:rsid w:val="00087195"/>
    <w:rsid w:val="0009506F"/>
    <w:rsid w:val="000A4A80"/>
    <w:rsid w:val="000C62F9"/>
    <w:rsid w:val="000E34D5"/>
    <w:rsid w:val="000E634B"/>
    <w:rsid w:val="000F11D1"/>
    <w:rsid w:val="00103A57"/>
    <w:rsid w:val="001048DB"/>
    <w:rsid w:val="00107FAC"/>
    <w:rsid w:val="0011135F"/>
    <w:rsid w:val="00112F16"/>
    <w:rsid w:val="00122901"/>
    <w:rsid w:val="00127A60"/>
    <w:rsid w:val="00136D64"/>
    <w:rsid w:val="001370B8"/>
    <w:rsid w:val="00141CB0"/>
    <w:rsid w:val="001543E4"/>
    <w:rsid w:val="00157F56"/>
    <w:rsid w:val="00160FEC"/>
    <w:rsid w:val="00166916"/>
    <w:rsid w:val="00167BA0"/>
    <w:rsid w:val="00174E1E"/>
    <w:rsid w:val="0017694D"/>
    <w:rsid w:val="001A205C"/>
    <w:rsid w:val="001A386C"/>
    <w:rsid w:val="001B17B6"/>
    <w:rsid w:val="001B45D6"/>
    <w:rsid w:val="001B77CE"/>
    <w:rsid w:val="001C1E5B"/>
    <w:rsid w:val="001C2099"/>
    <w:rsid w:val="001C51C6"/>
    <w:rsid w:val="001C5FD7"/>
    <w:rsid w:val="001C6458"/>
    <w:rsid w:val="001D1EDA"/>
    <w:rsid w:val="001E0597"/>
    <w:rsid w:val="001E54DF"/>
    <w:rsid w:val="001F469E"/>
    <w:rsid w:val="0020589E"/>
    <w:rsid w:val="0020793F"/>
    <w:rsid w:val="002227FC"/>
    <w:rsid w:val="0022482F"/>
    <w:rsid w:val="00233E13"/>
    <w:rsid w:val="002432DA"/>
    <w:rsid w:val="0025527D"/>
    <w:rsid w:val="00256684"/>
    <w:rsid w:val="00261439"/>
    <w:rsid w:val="00270F55"/>
    <w:rsid w:val="002763B1"/>
    <w:rsid w:val="0028026E"/>
    <w:rsid w:val="00280662"/>
    <w:rsid w:val="00283824"/>
    <w:rsid w:val="00284F0A"/>
    <w:rsid w:val="002927A5"/>
    <w:rsid w:val="002A1BD1"/>
    <w:rsid w:val="002A227F"/>
    <w:rsid w:val="002A5921"/>
    <w:rsid w:val="002B09FD"/>
    <w:rsid w:val="002B18A9"/>
    <w:rsid w:val="002B546D"/>
    <w:rsid w:val="002C6DF4"/>
    <w:rsid w:val="002D0283"/>
    <w:rsid w:val="002D0D64"/>
    <w:rsid w:val="002D2CD2"/>
    <w:rsid w:val="002D7EE8"/>
    <w:rsid w:val="002F0DF9"/>
    <w:rsid w:val="002F3310"/>
    <w:rsid w:val="00301ADB"/>
    <w:rsid w:val="0030232B"/>
    <w:rsid w:val="00306733"/>
    <w:rsid w:val="003121A8"/>
    <w:rsid w:val="003177CE"/>
    <w:rsid w:val="00323604"/>
    <w:rsid w:val="00324CF7"/>
    <w:rsid w:val="00325364"/>
    <w:rsid w:val="0032627D"/>
    <w:rsid w:val="00326312"/>
    <w:rsid w:val="003265CD"/>
    <w:rsid w:val="00330321"/>
    <w:rsid w:val="00337941"/>
    <w:rsid w:val="00347659"/>
    <w:rsid w:val="00351E85"/>
    <w:rsid w:val="00353B6B"/>
    <w:rsid w:val="00360A07"/>
    <w:rsid w:val="0036254B"/>
    <w:rsid w:val="00363810"/>
    <w:rsid w:val="0036469D"/>
    <w:rsid w:val="003652D0"/>
    <w:rsid w:val="0039031D"/>
    <w:rsid w:val="00390CFA"/>
    <w:rsid w:val="00392A12"/>
    <w:rsid w:val="003A2885"/>
    <w:rsid w:val="003A369E"/>
    <w:rsid w:val="003B237F"/>
    <w:rsid w:val="003C32E9"/>
    <w:rsid w:val="003D0E1E"/>
    <w:rsid w:val="003E44B9"/>
    <w:rsid w:val="003F452E"/>
    <w:rsid w:val="004027BF"/>
    <w:rsid w:val="00413BC4"/>
    <w:rsid w:val="00417616"/>
    <w:rsid w:val="00417899"/>
    <w:rsid w:val="004274F1"/>
    <w:rsid w:val="00427B8E"/>
    <w:rsid w:val="00431354"/>
    <w:rsid w:val="00436CD3"/>
    <w:rsid w:val="0043704A"/>
    <w:rsid w:val="0044681C"/>
    <w:rsid w:val="00446C93"/>
    <w:rsid w:val="00450973"/>
    <w:rsid w:val="00451732"/>
    <w:rsid w:val="00451C2F"/>
    <w:rsid w:val="00451FC2"/>
    <w:rsid w:val="00452150"/>
    <w:rsid w:val="00463F67"/>
    <w:rsid w:val="004660CF"/>
    <w:rsid w:val="0046631F"/>
    <w:rsid w:val="004664A6"/>
    <w:rsid w:val="004675F6"/>
    <w:rsid w:val="0047029B"/>
    <w:rsid w:val="00473B79"/>
    <w:rsid w:val="004755E2"/>
    <w:rsid w:val="00484E7D"/>
    <w:rsid w:val="004920DF"/>
    <w:rsid w:val="004A07BF"/>
    <w:rsid w:val="004A082E"/>
    <w:rsid w:val="004A13C6"/>
    <w:rsid w:val="004A6BBC"/>
    <w:rsid w:val="004A7EA7"/>
    <w:rsid w:val="004B757D"/>
    <w:rsid w:val="004E0241"/>
    <w:rsid w:val="004E03AF"/>
    <w:rsid w:val="004E14AE"/>
    <w:rsid w:val="004E1F9B"/>
    <w:rsid w:val="004E3491"/>
    <w:rsid w:val="004E57F6"/>
    <w:rsid w:val="00503A1B"/>
    <w:rsid w:val="00504E7D"/>
    <w:rsid w:val="00506594"/>
    <w:rsid w:val="00511248"/>
    <w:rsid w:val="0052157D"/>
    <w:rsid w:val="005305A0"/>
    <w:rsid w:val="00531581"/>
    <w:rsid w:val="00535C28"/>
    <w:rsid w:val="00540CAA"/>
    <w:rsid w:val="00542C47"/>
    <w:rsid w:val="00542E50"/>
    <w:rsid w:val="005441F8"/>
    <w:rsid w:val="005459BC"/>
    <w:rsid w:val="005465C4"/>
    <w:rsid w:val="0055305F"/>
    <w:rsid w:val="005564E7"/>
    <w:rsid w:val="00556592"/>
    <w:rsid w:val="0058739E"/>
    <w:rsid w:val="00587688"/>
    <w:rsid w:val="005A1903"/>
    <w:rsid w:val="005A1C80"/>
    <w:rsid w:val="005B68BE"/>
    <w:rsid w:val="005C4F61"/>
    <w:rsid w:val="005D471E"/>
    <w:rsid w:val="005D6195"/>
    <w:rsid w:val="005E4017"/>
    <w:rsid w:val="005F2922"/>
    <w:rsid w:val="005F6CC3"/>
    <w:rsid w:val="005F7D8A"/>
    <w:rsid w:val="006018B5"/>
    <w:rsid w:val="006126DE"/>
    <w:rsid w:val="00612C81"/>
    <w:rsid w:val="006140B1"/>
    <w:rsid w:val="00614D0E"/>
    <w:rsid w:val="00617F84"/>
    <w:rsid w:val="00620FF5"/>
    <w:rsid w:val="006266BE"/>
    <w:rsid w:val="0063269E"/>
    <w:rsid w:val="00634AAE"/>
    <w:rsid w:val="0063712C"/>
    <w:rsid w:val="00650518"/>
    <w:rsid w:val="006613A8"/>
    <w:rsid w:val="00664C40"/>
    <w:rsid w:val="006823D6"/>
    <w:rsid w:val="00693C14"/>
    <w:rsid w:val="00694C65"/>
    <w:rsid w:val="00696043"/>
    <w:rsid w:val="006978DD"/>
    <w:rsid w:val="006A3097"/>
    <w:rsid w:val="006A383B"/>
    <w:rsid w:val="006B18A6"/>
    <w:rsid w:val="006B2BA1"/>
    <w:rsid w:val="006B717F"/>
    <w:rsid w:val="006C4B33"/>
    <w:rsid w:val="006C66BE"/>
    <w:rsid w:val="006D1444"/>
    <w:rsid w:val="006D2B86"/>
    <w:rsid w:val="00700253"/>
    <w:rsid w:val="00706084"/>
    <w:rsid w:val="00714397"/>
    <w:rsid w:val="007205DA"/>
    <w:rsid w:val="00724458"/>
    <w:rsid w:val="00734A6D"/>
    <w:rsid w:val="00742D1F"/>
    <w:rsid w:val="007453BA"/>
    <w:rsid w:val="00750929"/>
    <w:rsid w:val="0075293A"/>
    <w:rsid w:val="00753698"/>
    <w:rsid w:val="00767F3F"/>
    <w:rsid w:val="00770D8B"/>
    <w:rsid w:val="00781778"/>
    <w:rsid w:val="00784E1B"/>
    <w:rsid w:val="00786DCE"/>
    <w:rsid w:val="00787716"/>
    <w:rsid w:val="0079129B"/>
    <w:rsid w:val="007919D2"/>
    <w:rsid w:val="007A3436"/>
    <w:rsid w:val="007C68A7"/>
    <w:rsid w:val="007E16A9"/>
    <w:rsid w:val="007E512A"/>
    <w:rsid w:val="007E60E1"/>
    <w:rsid w:val="007E7D80"/>
    <w:rsid w:val="007F3B91"/>
    <w:rsid w:val="007F6625"/>
    <w:rsid w:val="00804BCF"/>
    <w:rsid w:val="0080702A"/>
    <w:rsid w:val="0080718E"/>
    <w:rsid w:val="00807E4A"/>
    <w:rsid w:val="0081027D"/>
    <w:rsid w:val="0081752F"/>
    <w:rsid w:val="00820001"/>
    <w:rsid w:val="008208E8"/>
    <w:rsid w:val="0083079E"/>
    <w:rsid w:val="00831C74"/>
    <w:rsid w:val="00832EC5"/>
    <w:rsid w:val="00835197"/>
    <w:rsid w:val="00844FB4"/>
    <w:rsid w:val="0085468C"/>
    <w:rsid w:val="00855E87"/>
    <w:rsid w:val="00864785"/>
    <w:rsid w:val="00865199"/>
    <w:rsid w:val="00865DA3"/>
    <w:rsid w:val="00876024"/>
    <w:rsid w:val="0089186D"/>
    <w:rsid w:val="00897662"/>
    <w:rsid w:val="008A088D"/>
    <w:rsid w:val="008A63B6"/>
    <w:rsid w:val="008B2E90"/>
    <w:rsid w:val="008B5F4C"/>
    <w:rsid w:val="008C65EB"/>
    <w:rsid w:val="008D1A40"/>
    <w:rsid w:val="008D43E5"/>
    <w:rsid w:val="008D638E"/>
    <w:rsid w:val="008E2088"/>
    <w:rsid w:val="008E5EDE"/>
    <w:rsid w:val="008E6DA1"/>
    <w:rsid w:val="0090057D"/>
    <w:rsid w:val="009005B1"/>
    <w:rsid w:val="00900EFC"/>
    <w:rsid w:val="00904212"/>
    <w:rsid w:val="00904C5C"/>
    <w:rsid w:val="00911787"/>
    <w:rsid w:val="0092182A"/>
    <w:rsid w:val="009237C8"/>
    <w:rsid w:val="00933A9B"/>
    <w:rsid w:val="00933D29"/>
    <w:rsid w:val="009358F3"/>
    <w:rsid w:val="0094125E"/>
    <w:rsid w:val="00941ACE"/>
    <w:rsid w:val="00941DCF"/>
    <w:rsid w:val="00942165"/>
    <w:rsid w:val="0094329A"/>
    <w:rsid w:val="00945270"/>
    <w:rsid w:val="009508E2"/>
    <w:rsid w:val="009514B6"/>
    <w:rsid w:val="00951960"/>
    <w:rsid w:val="00953C7A"/>
    <w:rsid w:val="00954037"/>
    <w:rsid w:val="00954656"/>
    <w:rsid w:val="00954B99"/>
    <w:rsid w:val="00961011"/>
    <w:rsid w:val="009631E1"/>
    <w:rsid w:val="00964A37"/>
    <w:rsid w:val="009653A5"/>
    <w:rsid w:val="00971BD1"/>
    <w:rsid w:val="009907AA"/>
    <w:rsid w:val="009917C8"/>
    <w:rsid w:val="009946BC"/>
    <w:rsid w:val="00995299"/>
    <w:rsid w:val="009A2009"/>
    <w:rsid w:val="009A2495"/>
    <w:rsid w:val="009A3F35"/>
    <w:rsid w:val="009A44DF"/>
    <w:rsid w:val="009B016E"/>
    <w:rsid w:val="009B2D02"/>
    <w:rsid w:val="009C3565"/>
    <w:rsid w:val="009C4E24"/>
    <w:rsid w:val="009C5FEC"/>
    <w:rsid w:val="009C664B"/>
    <w:rsid w:val="009C667D"/>
    <w:rsid w:val="009C6B51"/>
    <w:rsid w:val="009D2701"/>
    <w:rsid w:val="009D482E"/>
    <w:rsid w:val="009D79C5"/>
    <w:rsid w:val="009F4916"/>
    <w:rsid w:val="009F58B0"/>
    <w:rsid w:val="009F5D36"/>
    <w:rsid w:val="00A065DF"/>
    <w:rsid w:val="00A07F2E"/>
    <w:rsid w:val="00A14A23"/>
    <w:rsid w:val="00A21BFA"/>
    <w:rsid w:val="00A21FBB"/>
    <w:rsid w:val="00A267AC"/>
    <w:rsid w:val="00A277F9"/>
    <w:rsid w:val="00A3495C"/>
    <w:rsid w:val="00A34E2B"/>
    <w:rsid w:val="00A41CB8"/>
    <w:rsid w:val="00A458D9"/>
    <w:rsid w:val="00A50E7C"/>
    <w:rsid w:val="00A521D1"/>
    <w:rsid w:val="00A60B53"/>
    <w:rsid w:val="00A67A2B"/>
    <w:rsid w:val="00A87A66"/>
    <w:rsid w:val="00A90A7C"/>
    <w:rsid w:val="00A94CCC"/>
    <w:rsid w:val="00A95D25"/>
    <w:rsid w:val="00AA1029"/>
    <w:rsid w:val="00AA5E4A"/>
    <w:rsid w:val="00AB7080"/>
    <w:rsid w:val="00AC0140"/>
    <w:rsid w:val="00AC0395"/>
    <w:rsid w:val="00AD247D"/>
    <w:rsid w:val="00AD5E57"/>
    <w:rsid w:val="00AE5FD0"/>
    <w:rsid w:val="00AE66A5"/>
    <w:rsid w:val="00AE7708"/>
    <w:rsid w:val="00AF2C9A"/>
    <w:rsid w:val="00AF2CE3"/>
    <w:rsid w:val="00B26C85"/>
    <w:rsid w:val="00B27342"/>
    <w:rsid w:val="00B30053"/>
    <w:rsid w:val="00B3715D"/>
    <w:rsid w:val="00B379A9"/>
    <w:rsid w:val="00B447A0"/>
    <w:rsid w:val="00B465F6"/>
    <w:rsid w:val="00B55075"/>
    <w:rsid w:val="00B73260"/>
    <w:rsid w:val="00B92E46"/>
    <w:rsid w:val="00BA37D9"/>
    <w:rsid w:val="00BA66C1"/>
    <w:rsid w:val="00BB2427"/>
    <w:rsid w:val="00BB367F"/>
    <w:rsid w:val="00BB5996"/>
    <w:rsid w:val="00BB6719"/>
    <w:rsid w:val="00BB791F"/>
    <w:rsid w:val="00BC123E"/>
    <w:rsid w:val="00BC2D28"/>
    <w:rsid w:val="00BC56BF"/>
    <w:rsid w:val="00BC6C04"/>
    <w:rsid w:val="00BE7947"/>
    <w:rsid w:val="00BF11D8"/>
    <w:rsid w:val="00BF2946"/>
    <w:rsid w:val="00C04AB4"/>
    <w:rsid w:val="00C05FFF"/>
    <w:rsid w:val="00C10917"/>
    <w:rsid w:val="00C15253"/>
    <w:rsid w:val="00C22A05"/>
    <w:rsid w:val="00C264EA"/>
    <w:rsid w:val="00C27D43"/>
    <w:rsid w:val="00C37335"/>
    <w:rsid w:val="00C45E0B"/>
    <w:rsid w:val="00C4677F"/>
    <w:rsid w:val="00C54A96"/>
    <w:rsid w:val="00C54CEE"/>
    <w:rsid w:val="00C5711A"/>
    <w:rsid w:val="00C63673"/>
    <w:rsid w:val="00C663EC"/>
    <w:rsid w:val="00C73021"/>
    <w:rsid w:val="00C743F9"/>
    <w:rsid w:val="00C74D0B"/>
    <w:rsid w:val="00C9356C"/>
    <w:rsid w:val="00C93E90"/>
    <w:rsid w:val="00C947D6"/>
    <w:rsid w:val="00C95E34"/>
    <w:rsid w:val="00CA257A"/>
    <w:rsid w:val="00CB10FB"/>
    <w:rsid w:val="00CB4C94"/>
    <w:rsid w:val="00CC379F"/>
    <w:rsid w:val="00CC5185"/>
    <w:rsid w:val="00CC5905"/>
    <w:rsid w:val="00CD1BBB"/>
    <w:rsid w:val="00CD6945"/>
    <w:rsid w:val="00CE73CC"/>
    <w:rsid w:val="00CF2F0E"/>
    <w:rsid w:val="00D008FD"/>
    <w:rsid w:val="00D0712D"/>
    <w:rsid w:val="00D11BAB"/>
    <w:rsid w:val="00D36059"/>
    <w:rsid w:val="00D41192"/>
    <w:rsid w:val="00D422A2"/>
    <w:rsid w:val="00D446CF"/>
    <w:rsid w:val="00D519F4"/>
    <w:rsid w:val="00D60646"/>
    <w:rsid w:val="00D6197F"/>
    <w:rsid w:val="00D62598"/>
    <w:rsid w:val="00D6791C"/>
    <w:rsid w:val="00D705EF"/>
    <w:rsid w:val="00D80B0D"/>
    <w:rsid w:val="00D80F1F"/>
    <w:rsid w:val="00D81EE6"/>
    <w:rsid w:val="00D82987"/>
    <w:rsid w:val="00D8299D"/>
    <w:rsid w:val="00D83AAF"/>
    <w:rsid w:val="00D90FCF"/>
    <w:rsid w:val="00D95112"/>
    <w:rsid w:val="00DA0EF1"/>
    <w:rsid w:val="00DA19DF"/>
    <w:rsid w:val="00DA5CDD"/>
    <w:rsid w:val="00DA744C"/>
    <w:rsid w:val="00DB5331"/>
    <w:rsid w:val="00DC63CC"/>
    <w:rsid w:val="00DD1798"/>
    <w:rsid w:val="00DE551A"/>
    <w:rsid w:val="00DE5FB0"/>
    <w:rsid w:val="00DF496D"/>
    <w:rsid w:val="00DF5100"/>
    <w:rsid w:val="00DF662A"/>
    <w:rsid w:val="00E13759"/>
    <w:rsid w:val="00E25B82"/>
    <w:rsid w:val="00E26B15"/>
    <w:rsid w:val="00E31479"/>
    <w:rsid w:val="00E33E2F"/>
    <w:rsid w:val="00E3453C"/>
    <w:rsid w:val="00E34F03"/>
    <w:rsid w:val="00E401C2"/>
    <w:rsid w:val="00E479EB"/>
    <w:rsid w:val="00E6171A"/>
    <w:rsid w:val="00E65765"/>
    <w:rsid w:val="00E66CCD"/>
    <w:rsid w:val="00E67212"/>
    <w:rsid w:val="00E67226"/>
    <w:rsid w:val="00E70EAC"/>
    <w:rsid w:val="00E809A0"/>
    <w:rsid w:val="00E82E10"/>
    <w:rsid w:val="00E837A8"/>
    <w:rsid w:val="00E85940"/>
    <w:rsid w:val="00E91A86"/>
    <w:rsid w:val="00EA1793"/>
    <w:rsid w:val="00EA3CE4"/>
    <w:rsid w:val="00EA6A49"/>
    <w:rsid w:val="00EB03F8"/>
    <w:rsid w:val="00EB2883"/>
    <w:rsid w:val="00EB4929"/>
    <w:rsid w:val="00EC16B8"/>
    <w:rsid w:val="00EC2C43"/>
    <w:rsid w:val="00EC4F63"/>
    <w:rsid w:val="00EE6414"/>
    <w:rsid w:val="00EF33E3"/>
    <w:rsid w:val="00EF4EEC"/>
    <w:rsid w:val="00F11634"/>
    <w:rsid w:val="00F17755"/>
    <w:rsid w:val="00F22CB7"/>
    <w:rsid w:val="00F23410"/>
    <w:rsid w:val="00F239B8"/>
    <w:rsid w:val="00F26535"/>
    <w:rsid w:val="00F40C50"/>
    <w:rsid w:val="00F42D77"/>
    <w:rsid w:val="00F4357D"/>
    <w:rsid w:val="00F547A3"/>
    <w:rsid w:val="00F71256"/>
    <w:rsid w:val="00F751B6"/>
    <w:rsid w:val="00F763A9"/>
    <w:rsid w:val="00F83761"/>
    <w:rsid w:val="00F87153"/>
    <w:rsid w:val="00F97E02"/>
    <w:rsid w:val="00FA2263"/>
    <w:rsid w:val="00FB0F7C"/>
    <w:rsid w:val="00FB339E"/>
    <w:rsid w:val="00FB38C0"/>
    <w:rsid w:val="00FB71C4"/>
    <w:rsid w:val="00FC16A7"/>
    <w:rsid w:val="00FD07A7"/>
    <w:rsid w:val="00FD5648"/>
    <w:rsid w:val="00FE0A37"/>
    <w:rsid w:val="00FE75B6"/>
    <w:rsid w:val="00FF1789"/>
    <w:rsid w:val="00FF5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CD3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34AAE"/>
    <w:pPr>
      <w:keepNext/>
      <w:spacing w:before="240" w:after="60"/>
      <w:jc w:val="center"/>
      <w:outlineLvl w:val="0"/>
    </w:pPr>
    <w:rPr>
      <w:rFonts w:eastAsia="Times New Roman"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34AAE"/>
    <w:pPr>
      <w:keepNext/>
      <w:spacing w:before="240" w:after="60"/>
      <w:outlineLvl w:val="1"/>
    </w:pPr>
    <w:rPr>
      <w:rFonts w:eastAsia="Times New Roman"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634AAE"/>
    <w:pPr>
      <w:keepNext/>
      <w:spacing w:before="240" w:after="60"/>
      <w:outlineLvl w:val="2"/>
    </w:pPr>
    <w:rPr>
      <w:rFonts w:eastAsia="Times New Roman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6A3097"/>
    <w:pPr>
      <w:keepNext/>
      <w:spacing w:before="240" w:after="60"/>
      <w:outlineLvl w:val="3"/>
    </w:pPr>
    <w:rPr>
      <w:rFonts w:eastAsia="Times New Roman"/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EA6A49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EA6A49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qFormat/>
    <w:rsid w:val="00EA6A49"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qFormat/>
    <w:rsid w:val="00EA6A49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qFormat/>
    <w:rsid w:val="00EA6A4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EA6A49"/>
  </w:style>
  <w:style w:type="paragraph" w:customStyle="1" w:styleId="Zkladntext21">
    <w:name w:val="Základní text 21"/>
    <w:basedOn w:val="Normln"/>
    <w:rsid w:val="00EA6A49"/>
    <w:pPr>
      <w:widowControl w:val="0"/>
      <w:overflowPunct w:val="0"/>
      <w:autoSpaceDE w:val="0"/>
      <w:autoSpaceDN w:val="0"/>
      <w:adjustRightInd w:val="0"/>
      <w:spacing w:before="120" w:after="0"/>
      <w:textAlignment w:val="baseline"/>
    </w:pPr>
    <w:rPr>
      <w:rFonts w:eastAsia="Times New Roman"/>
      <w:szCs w:val="20"/>
    </w:rPr>
  </w:style>
  <w:style w:type="paragraph" w:styleId="Bezmezer">
    <w:name w:val="No Spacing"/>
    <w:uiPriority w:val="1"/>
    <w:qFormat/>
    <w:rsid w:val="00EA6A4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506594"/>
    <w:pPr>
      <w:tabs>
        <w:tab w:val="right" w:leader="dot" w:pos="8541"/>
      </w:tabs>
      <w:spacing w:before="120" w:after="0"/>
    </w:pPr>
    <w:rPr>
      <w:b/>
      <w:bCs/>
      <w:i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D0283"/>
    <w:pPr>
      <w:tabs>
        <w:tab w:val="right" w:leader="dot" w:pos="8505"/>
      </w:tabs>
      <w:spacing w:before="120" w:after="0"/>
      <w:ind w:right="329"/>
    </w:pPr>
    <w:rPr>
      <w:b/>
      <w:bCs/>
    </w:rPr>
  </w:style>
  <w:style w:type="paragraph" w:styleId="Obsah3">
    <w:name w:val="toc 3"/>
    <w:basedOn w:val="Normln"/>
    <w:next w:val="Normln"/>
    <w:autoRedefine/>
    <w:uiPriority w:val="39"/>
    <w:unhideWhenUsed/>
    <w:rsid w:val="00E67226"/>
    <w:pPr>
      <w:tabs>
        <w:tab w:val="left" w:pos="1320"/>
        <w:tab w:val="right" w:pos="8505"/>
      </w:tabs>
      <w:spacing w:after="0"/>
      <w:ind w:left="440" w:right="329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67226"/>
    <w:pPr>
      <w:tabs>
        <w:tab w:val="left" w:pos="1276"/>
        <w:tab w:val="left" w:pos="8364"/>
        <w:tab w:val="right" w:leader="dot" w:pos="9487"/>
      </w:tabs>
      <w:spacing w:after="0"/>
      <w:ind w:left="426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A6A49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634AAE"/>
    <w:rPr>
      <w:rFonts w:ascii="Times New Roman" w:eastAsia="Times New Roman" w:hAnsi="Times New Roman" w:cs="Arial"/>
      <w:b/>
      <w:bCs/>
      <w:cap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634AAE"/>
    <w:rPr>
      <w:rFonts w:ascii="Times New Roman" w:eastAsia="Times New Roman" w:hAnsi="Times New Roman" w:cs="Arial"/>
      <w:b/>
      <w:bCs/>
      <w:iCs/>
      <w:cap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634AAE"/>
    <w:rPr>
      <w:rFonts w:ascii="Times New Roman" w:eastAsia="Times New Roman" w:hAnsi="Times New Roman"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EA6A49"/>
    <w:rPr>
      <w:rFonts w:ascii="Times New Roman" w:eastAsia="Times New Roman" w:hAnsi="Times New Roman" w:cs="Times New Roman"/>
      <w:b/>
      <w:bC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EA6A49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A6A49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EA6A4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A6A49"/>
    <w:rPr>
      <w:rFonts w:ascii="Arial" w:eastAsia="Times New Roman" w:hAnsi="Arial" w:cs="Arial"/>
      <w:lang w:eastAsia="cs-CZ"/>
    </w:rPr>
  </w:style>
  <w:style w:type="paragraph" w:styleId="Zkladntext">
    <w:name w:val="Body Text"/>
    <w:aliases w:val="()odstaved"/>
    <w:basedOn w:val="Normln"/>
    <w:link w:val="ZkladntextChar"/>
    <w:rsid w:val="00EA6A49"/>
    <w:pPr>
      <w:autoSpaceDE w:val="0"/>
      <w:autoSpaceDN w:val="0"/>
      <w:adjustRightInd w:val="0"/>
      <w:spacing w:before="120" w:after="0"/>
      <w:jc w:val="center"/>
    </w:pPr>
    <w:rPr>
      <w:rFonts w:eastAsia="Times New Roman"/>
      <w:b/>
      <w:bCs/>
      <w:caps/>
      <w:sz w:val="40"/>
    </w:rPr>
  </w:style>
  <w:style w:type="character" w:customStyle="1" w:styleId="ZkladntextChar">
    <w:name w:val="Základní text Char"/>
    <w:aliases w:val="()odstaved Char"/>
    <w:basedOn w:val="Standardnpsmoodstavce"/>
    <w:link w:val="Zkladntext"/>
    <w:rsid w:val="00EA6A49"/>
    <w:rPr>
      <w:rFonts w:ascii="Times New Roman" w:eastAsia="Times New Roman" w:hAnsi="Times New Roman" w:cs="Times New Roman"/>
      <w:b/>
      <w:bCs/>
      <w:caps/>
      <w:sz w:val="40"/>
      <w:szCs w:val="24"/>
      <w:lang w:eastAsia="cs-CZ"/>
    </w:rPr>
  </w:style>
  <w:style w:type="paragraph" w:styleId="Zkladntext2">
    <w:name w:val="Body Text 2"/>
    <w:basedOn w:val="Normln"/>
    <w:link w:val="Zkladntext2Char"/>
    <w:rsid w:val="00EA6A49"/>
    <w:pPr>
      <w:autoSpaceDE w:val="0"/>
      <w:autoSpaceDN w:val="0"/>
      <w:adjustRightInd w:val="0"/>
      <w:spacing w:before="120" w:after="0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EA6A49"/>
    <w:pPr>
      <w:spacing w:after="0"/>
      <w:ind w:left="993" w:hanging="993"/>
    </w:pPr>
    <w:rPr>
      <w:rFonts w:eastAsia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EA6A49"/>
    <w:pPr>
      <w:spacing w:after="0"/>
    </w:pPr>
    <w:rPr>
      <w:rFonts w:ascii="Arial" w:eastAsia="Times New Roman" w:hAnsi="Arial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EA6A49"/>
    <w:rPr>
      <w:rFonts w:ascii="Arial" w:eastAsia="Times New Roman" w:hAnsi="Arial" w:cs="Times New Roman"/>
      <w:sz w:val="24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06594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506594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506594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506594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506594"/>
    <w:pPr>
      <w:spacing w:after="0"/>
      <w:ind w:left="1760"/>
    </w:pPr>
    <w:rPr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1903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5A1903"/>
    <w:rPr>
      <w:rFonts w:ascii="Courier New" w:eastAsia="Times New Roman" w:hAnsi="Courier New" w:cs="Courier New"/>
    </w:rPr>
  </w:style>
  <w:style w:type="paragraph" w:styleId="Normlnodsazen">
    <w:name w:val="Normal Indent"/>
    <w:basedOn w:val="Normln"/>
    <w:rsid w:val="0094125E"/>
    <w:pPr>
      <w:spacing w:after="0"/>
      <w:ind w:left="708"/>
    </w:pPr>
    <w:rPr>
      <w:rFonts w:eastAsia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53B6B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53B6B"/>
    <w:rPr>
      <w:sz w:val="22"/>
      <w:szCs w:val="22"/>
      <w:lang w:eastAsia="en-US"/>
    </w:rPr>
  </w:style>
  <w:style w:type="paragraph" w:customStyle="1" w:styleId="Import1">
    <w:name w:val="Import 1"/>
    <w:basedOn w:val="Normln"/>
    <w:rsid w:val="00353B6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/>
    </w:pPr>
    <w:rPr>
      <w:rFonts w:ascii="Courier New" w:eastAsia="Times New Roman" w:hAnsi="Courier New"/>
      <w:noProof/>
      <w:szCs w:val="20"/>
    </w:rPr>
  </w:style>
  <w:style w:type="paragraph" w:customStyle="1" w:styleId="Zkladntext22">
    <w:name w:val="Základní text 22"/>
    <w:basedOn w:val="Normln"/>
    <w:rsid w:val="00353B6B"/>
    <w:pPr>
      <w:overflowPunct w:val="0"/>
      <w:autoSpaceDE w:val="0"/>
      <w:autoSpaceDN w:val="0"/>
      <w:adjustRightInd w:val="0"/>
      <w:spacing w:after="0" w:line="360" w:lineRule="exact"/>
      <w:textAlignment w:val="baseline"/>
    </w:pPr>
    <w:rPr>
      <w:rFonts w:eastAsia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0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059"/>
    <w:rPr>
      <w:rFonts w:ascii="Tahoma" w:eastAsia="MS Mincho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CD3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34AAE"/>
    <w:pPr>
      <w:keepNext/>
      <w:spacing w:before="240" w:after="60"/>
      <w:jc w:val="center"/>
      <w:outlineLvl w:val="0"/>
    </w:pPr>
    <w:rPr>
      <w:rFonts w:eastAsia="Times New Roman"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34AAE"/>
    <w:pPr>
      <w:keepNext/>
      <w:spacing w:before="240" w:after="60"/>
      <w:outlineLvl w:val="1"/>
    </w:pPr>
    <w:rPr>
      <w:rFonts w:eastAsia="Times New Roman"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634AAE"/>
    <w:pPr>
      <w:keepNext/>
      <w:spacing w:before="240" w:after="60"/>
      <w:outlineLvl w:val="2"/>
    </w:pPr>
    <w:rPr>
      <w:rFonts w:eastAsia="Times New Roman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6A3097"/>
    <w:pPr>
      <w:keepNext/>
      <w:spacing w:before="240" w:after="60"/>
      <w:outlineLvl w:val="3"/>
    </w:pPr>
    <w:rPr>
      <w:rFonts w:eastAsia="Times New Roman"/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EA6A49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EA6A49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qFormat/>
    <w:rsid w:val="00EA6A49"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qFormat/>
    <w:rsid w:val="00EA6A49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qFormat/>
    <w:rsid w:val="00EA6A4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A6A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EA6A4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EA6A49"/>
  </w:style>
  <w:style w:type="paragraph" w:customStyle="1" w:styleId="Zkladntext21">
    <w:name w:val="Základní text 21"/>
    <w:basedOn w:val="Normln"/>
    <w:rsid w:val="00EA6A49"/>
    <w:pPr>
      <w:widowControl w:val="0"/>
      <w:overflowPunct w:val="0"/>
      <w:autoSpaceDE w:val="0"/>
      <w:autoSpaceDN w:val="0"/>
      <w:adjustRightInd w:val="0"/>
      <w:spacing w:before="120" w:after="0"/>
      <w:textAlignment w:val="baseline"/>
    </w:pPr>
    <w:rPr>
      <w:rFonts w:eastAsia="Times New Roman"/>
      <w:szCs w:val="20"/>
    </w:rPr>
  </w:style>
  <w:style w:type="paragraph" w:styleId="Bezmezer">
    <w:name w:val="No Spacing"/>
    <w:uiPriority w:val="1"/>
    <w:qFormat/>
    <w:rsid w:val="00EA6A4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506594"/>
    <w:pPr>
      <w:tabs>
        <w:tab w:val="right" w:leader="dot" w:pos="8541"/>
      </w:tabs>
      <w:spacing w:before="120" w:after="0"/>
    </w:pPr>
    <w:rPr>
      <w:b/>
      <w:bCs/>
      <w:i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D0283"/>
    <w:pPr>
      <w:tabs>
        <w:tab w:val="right" w:leader="dot" w:pos="8505"/>
      </w:tabs>
      <w:spacing w:before="120" w:after="0"/>
      <w:ind w:right="329"/>
    </w:pPr>
    <w:rPr>
      <w:b/>
      <w:bCs/>
    </w:rPr>
  </w:style>
  <w:style w:type="paragraph" w:styleId="Obsah3">
    <w:name w:val="toc 3"/>
    <w:basedOn w:val="Normln"/>
    <w:next w:val="Normln"/>
    <w:autoRedefine/>
    <w:uiPriority w:val="39"/>
    <w:unhideWhenUsed/>
    <w:rsid w:val="002D0283"/>
    <w:pPr>
      <w:tabs>
        <w:tab w:val="right" w:pos="8505"/>
      </w:tabs>
      <w:spacing w:after="0"/>
      <w:ind w:left="440" w:right="329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506594"/>
    <w:pPr>
      <w:spacing w:after="0"/>
      <w:ind w:left="66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A6A49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634AAE"/>
    <w:rPr>
      <w:rFonts w:ascii="Times New Roman" w:eastAsia="Times New Roman" w:hAnsi="Times New Roman" w:cs="Arial"/>
      <w:b/>
      <w:bCs/>
      <w:cap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634AAE"/>
    <w:rPr>
      <w:rFonts w:ascii="Times New Roman" w:eastAsia="Times New Roman" w:hAnsi="Times New Roman" w:cs="Arial"/>
      <w:b/>
      <w:bCs/>
      <w:iCs/>
      <w:cap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634AAE"/>
    <w:rPr>
      <w:rFonts w:ascii="Times New Roman" w:eastAsia="Times New Roman" w:hAnsi="Times New Roman"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EA6A49"/>
    <w:rPr>
      <w:rFonts w:ascii="Times New Roman" w:eastAsia="Times New Roman" w:hAnsi="Times New Roman" w:cs="Times New Roman"/>
      <w:b/>
      <w:bC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EA6A49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A6A49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EA6A4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A6A49"/>
    <w:rPr>
      <w:rFonts w:ascii="Arial" w:eastAsia="Times New Roman" w:hAnsi="Arial" w:cs="Arial"/>
      <w:lang w:eastAsia="cs-CZ"/>
    </w:rPr>
  </w:style>
  <w:style w:type="paragraph" w:styleId="Zkladntext">
    <w:name w:val="Body Text"/>
    <w:aliases w:val="()odstaved"/>
    <w:basedOn w:val="Normln"/>
    <w:link w:val="ZkladntextChar"/>
    <w:rsid w:val="00EA6A49"/>
    <w:pPr>
      <w:autoSpaceDE w:val="0"/>
      <w:autoSpaceDN w:val="0"/>
      <w:adjustRightInd w:val="0"/>
      <w:spacing w:before="120" w:after="0"/>
      <w:jc w:val="center"/>
    </w:pPr>
    <w:rPr>
      <w:rFonts w:eastAsia="Times New Roman"/>
      <w:b/>
      <w:bCs/>
      <w:caps/>
      <w:sz w:val="40"/>
    </w:rPr>
  </w:style>
  <w:style w:type="character" w:customStyle="1" w:styleId="ZkladntextChar">
    <w:name w:val="Základní text Char"/>
    <w:aliases w:val="()odstaved Char"/>
    <w:basedOn w:val="Standardnpsmoodstavce"/>
    <w:link w:val="Zkladntext"/>
    <w:rsid w:val="00EA6A49"/>
    <w:rPr>
      <w:rFonts w:ascii="Times New Roman" w:eastAsia="Times New Roman" w:hAnsi="Times New Roman" w:cs="Times New Roman"/>
      <w:b/>
      <w:bCs/>
      <w:caps/>
      <w:sz w:val="40"/>
      <w:szCs w:val="24"/>
      <w:lang w:eastAsia="cs-CZ"/>
    </w:rPr>
  </w:style>
  <w:style w:type="paragraph" w:styleId="Zkladntext2">
    <w:name w:val="Body Text 2"/>
    <w:basedOn w:val="Normln"/>
    <w:link w:val="Zkladntext2Char"/>
    <w:rsid w:val="00EA6A49"/>
    <w:pPr>
      <w:autoSpaceDE w:val="0"/>
      <w:autoSpaceDN w:val="0"/>
      <w:adjustRightInd w:val="0"/>
      <w:spacing w:before="120" w:after="0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EA6A49"/>
    <w:pPr>
      <w:spacing w:after="0"/>
      <w:ind w:left="993" w:hanging="993"/>
    </w:pPr>
    <w:rPr>
      <w:rFonts w:eastAsia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rsid w:val="00EA6A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EA6A49"/>
    <w:pPr>
      <w:spacing w:after="0"/>
    </w:pPr>
    <w:rPr>
      <w:rFonts w:ascii="Arial" w:eastAsia="Times New Roman" w:hAnsi="Arial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EA6A49"/>
    <w:rPr>
      <w:rFonts w:ascii="Arial" w:eastAsia="Times New Roman" w:hAnsi="Arial" w:cs="Times New Roman"/>
      <w:sz w:val="24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06594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506594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506594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506594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506594"/>
    <w:pPr>
      <w:spacing w:after="0"/>
      <w:ind w:left="1760"/>
    </w:pPr>
    <w:rPr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1903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5A1903"/>
    <w:rPr>
      <w:rFonts w:ascii="Courier New" w:eastAsia="Times New Roman" w:hAnsi="Courier New" w:cs="Courier New"/>
    </w:rPr>
  </w:style>
  <w:style w:type="paragraph" w:styleId="Normlnodsazen">
    <w:name w:val="Normal Indent"/>
    <w:basedOn w:val="Normln"/>
    <w:rsid w:val="0094125E"/>
    <w:pPr>
      <w:spacing w:after="0"/>
      <w:ind w:left="708"/>
    </w:pPr>
    <w:rPr>
      <w:rFonts w:eastAsia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53B6B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53B6B"/>
    <w:rPr>
      <w:sz w:val="22"/>
      <w:szCs w:val="22"/>
      <w:lang w:eastAsia="en-US"/>
    </w:rPr>
  </w:style>
  <w:style w:type="paragraph" w:customStyle="1" w:styleId="Import1">
    <w:name w:val="Import 1"/>
    <w:basedOn w:val="Normln"/>
    <w:rsid w:val="00353B6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/>
    </w:pPr>
    <w:rPr>
      <w:rFonts w:ascii="Courier New" w:eastAsia="Times New Roman" w:hAnsi="Courier New"/>
      <w:noProof/>
      <w:szCs w:val="20"/>
    </w:rPr>
  </w:style>
  <w:style w:type="paragraph" w:customStyle="1" w:styleId="Zkladntext22">
    <w:name w:val="Základní text 22"/>
    <w:basedOn w:val="Normln"/>
    <w:rsid w:val="00353B6B"/>
    <w:pPr>
      <w:overflowPunct w:val="0"/>
      <w:autoSpaceDE w:val="0"/>
      <w:autoSpaceDN w:val="0"/>
      <w:adjustRightInd w:val="0"/>
      <w:spacing w:after="0" w:line="360" w:lineRule="exact"/>
      <w:textAlignment w:val="baseline"/>
    </w:pPr>
    <w:rPr>
      <w:rFonts w:eastAsia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0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059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37C4A-682B-4C28-BF20-B84660F7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1110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Links>
    <vt:vector size="216" baseType="variant">
      <vt:variant>
        <vt:i4>1048628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_Toc373159185</vt:lpwstr>
      </vt:variant>
      <vt:variant>
        <vt:i4>1048628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_Toc373159184</vt:lpwstr>
      </vt:variant>
      <vt:variant>
        <vt:i4>1048628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_Toc373159183</vt:lpwstr>
      </vt:variant>
      <vt:variant>
        <vt:i4>1048628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_Toc373159182</vt:lpwstr>
      </vt:variant>
      <vt:variant>
        <vt:i4>1048628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_Toc373159181</vt:lpwstr>
      </vt:variant>
      <vt:variant>
        <vt:i4>1048628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_Toc373159180</vt:lpwstr>
      </vt:variant>
      <vt:variant>
        <vt:i4>2031668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_Toc373159179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_Toc373159178</vt:lpwstr>
      </vt:variant>
      <vt:variant>
        <vt:i4>2031668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_Toc373159177</vt:lpwstr>
      </vt:variant>
      <vt:variant>
        <vt:i4>2031668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_Toc373159176</vt:lpwstr>
      </vt:variant>
      <vt:variant>
        <vt:i4>2031668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_Toc373159175</vt:lpwstr>
      </vt:variant>
      <vt:variant>
        <vt:i4>2031668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_Toc373159174</vt:lpwstr>
      </vt:variant>
      <vt:variant>
        <vt:i4>2031668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_Toc373159173</vt:lpwstr>
      </vt:variant>
      <vt:variant>
        <vt:i4>2031668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_Toc373159172</vt:lpwstr>
      </vt:variant>
      <vt:variant>
        <vt:i4>2031668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_Toc373159171</vt:lpwstr>
      </vt:variant>
      <vt:variant>
        <vt:i4>2031668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_Toc373159170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_Toc373159169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_Toc373159168</vt:lpwstr>
      </vt:variant>
      <vt:variant>
        <vt:i4>1966132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_Toc373159167</vt:lpwstr>
      </vt:variant>
      <vt:variant>
        <vt:i4>1966132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_Toc373159166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_Toc373159165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_Toc373159164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_Toc373159163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_Toc373159162</vt:lpwstr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_Toc373159161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_Toc373159160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_Toc373159159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_Toc373159158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_Toc373159157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_Toc373159156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_Toc373159155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_Toc373159154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_Toc373159153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_Toc373159152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_Toc373159151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_Toc373159150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merendova</dc:creator>
  <cp:lastModifiedBy>stavinohova</cp:lastModifiedBy>
  <cp:revision>13</cp:revision>
  <cp:lastPrinted>2017-11-20T11:11:00Z</cp:lastPrinted>
  <dcterms:created xsi:type="dcterms:W3CDTF">2017-12-07T14:37:00Z</dcterms:created>
  <dcterms:modified xsi:type="dcterms:W3CDTF">2017-12-14T07:13:00Z</dcterms:modified>
</cp:coreProperties>
</file>