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D9E9" w14:textId="77777777" w:rsidR="00F23B25" w:rsidRDefault="00F23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7FE77A5A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F23B25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1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271D12A6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7B14C4" w:rsidRPr="007B14C4">
        <w:rPr>
          <w:rFonts w:ascii="Tahoma" w:hAnsi="Tahoma" w:cs="Tahoma"/>
          <w:b/>
          <w:bCs/>
          <w:sz w:val="20"/>
        </w:rPr>
        <w:t>Rekonstrukce ústřední knihovny 1., 3. a 4. NP v areálu VŠB-TUO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1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2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3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4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4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743F4250" w14:textId="05EA7815" w:rsidR="00270131" w:rsidRDefault="00270131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</w:t>
      </w:r>
      <w:r w:rsidR="00424FA8">
        <w:rPr>
          <w:rFonts w:ascii="Tahoma" w:hAnsi="Tahoma" w:cs="Tahoma"/>
          <w:b/>
          <w:sz w:val="20"/>
        </w:rPr>
        <w:t xml:space="preserve">že my </w:t>
      </w:r>
      <w:r w:rsidRPr="00270131">
        <w:rPr>
          <w:rFonts w:ascii="Tahoma" w:hAnsi="Tahoma" w:cs="Tahoma"/>
          <w:b/>
          <w:bCs/>
          <w:sz w:val="20"/>
        </w:rPr>
        <w:t>ani žádn</w:t>
      </w:r>
      <w:r w:rsidR="00424FA8">
        <w:rPr>
          <w:rFonts w:ascii="Tahoma" w:hAnsi="Tahoma" w:cs="Tahoma"/>
          <w:b/>
          <w:bCs/>
          <w:sz w:val="20"/>
        </w:rPr>
        <w:t>ý</w:t>
      </w:r>
      <w:r w:rsidRPr="00270131">
        <w:rPr>
          <w:rFonts w:ascii="Tahoma" w:hAnsi="Tahoma" w:cs="Tahoma"/>
          <w:b/>
          <w:bCs/>
          <w:sz w:val="20"/>
        </w:rPr>
        <w:t xml:space="preserve"> z </w:t>
      </w:r>
      <w:r w:rsidR="00424FA8">
        <w:rPr>
          <w:rFonts w:ascii="Tahoma" w:hAnsi="Tahoma" w:cs="Tahoma"/>
          <w:b/>
          <w:bCs/>
          <w:sz w:val="20"/>
        </w:rPr>
        <w:t>našich</w:t>
      </w:r>
      <w:r w:rsidRPr="00270131">
        <w:rPr>
          <w:rFonts w:ascii="Tahoma" w:hAnsi="Tahoma" w:cs="Tahoma"/>
          <w:b/>
          <w:bCs/>
          <w:sz w:val="20"/>
        </w:rPr>
        <w:t xml:space="preserve">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270131">
        <w:rPr>
          <w:rFonts w:ascii="Tahoma" w:hAnsi="Tahoma" w:cs="Tahoma"/>
          <w:b/>
          <w:bCs/>
          <w:sz w:val="20"/>
        </w:rPr>
        <w:t>ii</w:t>
      </w:r>
      <w:proofErr w:type="spellEnd"/>
      <w:r w:rsidRPr="00270131">
        <w:rPr>
          <w:rFonts w:ascii="Tahoma" w:hAnsi="Tahoma" w:cs="Tahoma"/>
          <w:b/>
          <w:bCs/>
          <w:sz w:val="20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270131">
        <w:rPr>
          <w:rFonts w:ascii="Tahoma" w:hAnsi="Tahoma" w:cs="Tahoma"/>
          <w:b/>
          <w:bCs/>
          <w:sz w:val="20"/>
        </w:rPr>
        <w:t>iii</w:t>
      </w:r>
      <w:proofErr w:type="spellEnd"/>
      <w:r w:rsidRPr="00270131">
        <w:rPr>
          <w:rFonts w:ascii="Tahoma" w:hAnsi="Tahoma" w:cs="Tahoma"/>
          <w:b/>
          <w:bCs/>
          <w:sz w:val="20"/>
        </w:rPr>
        <w:t>) ani právnickou osobou, subjektem nebo orgánem usazeným v Rusku, které jsou z více než 50 % ve veřejném vlastnictví či pod veřejnou kontrolou</w:t>
      </w:r>
      <w:r w:rsidR="00424FA8">
        <w:rPr>
          <w:rFonts w:ascii="Tahoma" w:hAnsi="Tahoma" w:cs="Tahoma"/>
          <w:b/>
          <w:bCs/>
          <w:sz w:val="20"/>
        </w:rPr>
        <w:t>.</w:t>
      </w:r>
    </w:p>
    <w:p w14:paraId="6C90BCA8" w14:textId="41A14E76" w:rsidR="00C904DB" w:rsidRDefault="00C904DB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>čestně prohlašuji, že</w:t>
      </w:r>
      <w:r w:rsidRPr="00C904DB">
        <w:rPr>
          <w:rFonts w:ascii="Tahoma" w:hAnsi="Tahoma" w:cs="Tahoma"/>
          <w:b/>
          <w:bCs/>
          <w:sz w:val="20"/>
        </w:rPr>
        <w:t xml:space="preserve"> žádné finanční prostředky, které obdrží</w:t>
      </w:r>
      <w:r w:rsidR="00DF3CDF">
        <w:rPr>
          <w:rFonts w:ascii="Tahoma" w:hAnsi="Tahoma" w:cs="Tahoma"/>
          <w:b/>
          <w:bCs/>
          <w:sz w:val="20"/>
        </w:rPr>
        <w:t>me</w:t>
      </w:r>
      <w:r w:rsidRPr="00C904DB">
        <w:rPr>
          <w:rFonts w:ascii="Tahoma" w:hAnsi="Tahoma" w:cs="Tahoma"/>
          <w:b/>
          <w:bCs/>
          <w:sz w:val="20"/>
        </w:rPr>
        <w:t xml:space="preserve"> za plnění veřejné zakázky, přímo ani nepřímo nezpřístupní</w:t>
      </w:r>
      <w:r w:rsidR="00DF3CDF">
        <w:rPr>
          <w:rFonts w:ascii="Tahoma" w:hAnsi="Tahoma" w:cs="Tahoma"/>
          <w:b/>
          <w:bCs/>
          <w:sz w:val="20"/>
        </w:rPr>
        <w:t>me</w:t>
      </w:r>
      <w:r w:rsidRPr="00C904DB">
        <w:rPr>
          <w:rFonts w:ascii="Tahoma" w:hAnsi="Tahoma" w:cs="Tahoma"/>
          <w:b/>
          <w:bCs/>
          <w:sz w:val="20"/>
        </w:rPr>
        <w:t xml:space="preserve"> fyzickým nebo právnickým osobám, subjektům či orgánům s nimi spojeným nebo v jejich prospěch (i) uvedeným v sankčním seznamu v příloze nařízení Rady (EU) č. 269/2014 ze dne 17. března </w:t>
      </w:r>
      <w:r w:rsidRPr="00C904DB">
        <w:rPr>
          <w:rFonts w:ascii="Tahoma" w:hAnsi="Tahoma" w:cs="Tahoma"/>
          <w:b/>
          <w:bCs/>
          <w:sz w:val="20"/>
        </w:rPr>
        <w:lastRenderedPageBreak/>
        <w:t>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904DB">
        <w:rPr>
          <w:rFonts w:ascii="Tahoma" w:hAnsi="Tahoma" w:cs="Tahoma"/>
          <w:b/>
          <w:bCs/>
          <w:sz w:val="20"/>
        </w:rPr>
        <w:t>ii</w:t>
      </w:r>
      <w:proofErr w:type="spellEnd"/>
      <w:r w:rsidRPr="00C904DB">
        <w:rPr>
          <w:rFonts w:ascii="Tahoma" w:hAnsi="Tahoma" w:cs="Tahoma"/>
          <w:b/>
          <w:bCs/>
          <w:sz w:val="20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904DB">
        <w:rPr>
          <w:rFonts w:ascii="Tahoma" w:hAnsi="Tahoma" w:cs="Tahoma"/>
          <w:b/>
          <w:bCs/>
          <w:sz w:val="20"/>
        </w:rPr>
        <w:t>iii</w:t>
      </w:r>
      <w:proofErr w:type="spellEnd"/>
      <w:r w:rsidRPr="00C904DB">
        <w:rPr>
          <w:rFonts w:ascii="Tahoma" w:hAnsi="Tahoma" w:cs="Tahoma"/>
          <w:b/>
          <w:bCs/>
          <w:sz w:val="20"/>
        </w:rPr>
        <w:t>) nebo osobě, která je právnickou osobou, subjektem nebo orgánem usazeným v Rusku, které jsou z více než 50 % ve veřejném vlastnictví či pod veřejnou kontrolou.</w:t>
      </w:r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67FFD315" w:rsidR="00327E3C" w:rsidRDefault="007B14C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F23B25">
      <w:headerReference w:type="default" r:id="rId10"/>
      <w:headerReference w:type="first" r:id="rId11"/>
      <w:pgSz w:w="11906" w:h="16838"/>
      <w:pgMar w:top="1135" w:right="1417" w:bottom="1135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bookmarkStart w:id="0" w:name="_Hlk226620160"/>
      <w:bookmarkEnd w:id="0"/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E9CC" w14:textId="77777777" w:rsidR="00F23B25" w:rsidRDefault="00F23B25" w:rsidP="00CE399B">
    <w:pPr>
      <w:rPr>
        <w:rFonts w:ascii="Tahoma" w:hAnsi="Tahoma" w:cs="Tahoma"/>
        <w:sz w:val="20"/>
      </w:rPr>
    </w:pPr>
  </w:p>
  <w:p w14:paraId="3B5E0C23" w14:textId="77777777" w:rsidR="00F23B25" w:rsidRDefault="00F23B25" w:rsidP="00CE399B">
    <w:pPr>
      <w:rPr>
        <w:rFonts w:ascii="Tahoma" w:hAnsi="Tahoma" w:cs="Tahoma"/>
        <w:sz w:val="20"/>
      </w:rPr>
    </w:pP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4C31" w14:textId="77777777" w:rsidR="007B14C4" w:rsidRDefault="007B14C4" w:rsidP="00F23B25">
    <w:pPr>
      <w:rPr>
        <w:rFonts w:ascii="Tahoma" w:hAnsi="Tahoma" w:cs="Tahoma"/>
        <w:sz w:val="20"/>
      </w:rPr>
    </w:pPr>
  </w:p>
  <w:p w14:paraId="2712B997" w14:textId="39FFA433" w:rsidR="00F23B25" w:rsidRDefault="007B14C4" w:rsidP="00F23B25">
    <w:r w:rsidRPr="00DB00F7">
      <w:rPr>
        <w:noProof/>
      </w:rPr>
      <w:drawing>
        <wp:anchor distT="0" distB="0" distL="114300" distR="114300" simplePos="0" relativeHeight="251658240" behindDoc="1" locked="0" layoutInCell="1" allowOverlap="1" wp14:anchorId="223C83B4" wp14:editId="472454A1">
          <wp:simplePos x="0" y="0"/>
          <wp:positionH relativeFrom="column">
            <wp:posOffset>109220</wp:posOffset>
          </wp:positionH>
          <wp:positionV relativeFrom="paragraph">
            <wp:posOffset>-258445</wp:posOffset>
          </wp:positionV>
          <wp:extent cx="5650230" cy="793750"/>
          <wp:effectExtent l="0" t="0" r="7620" b="6350"/>
          <wp:wrapSquare wrapText="bothSides"/>
          <wp:docPr id="207650008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3B25"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8</w:t>
    </w:r>
    <w:r w:rsidR="00F23B25" w:rsidRPr="00392F5C">
      <w:rPr>
        <w:rFonts w:ascii="Tahoma" w:hAnsi="Tahoma" w:cs="Tahoma"/>
        <w:sz w:val="20"/>
      </w:rPr>
      <w:t xml:space="preserve"> – </w:t>
    </w:r>
    <w:r w:rsidR="00F23B25">
      <w:rPr>
        <w:rFonts w:ascii="Tahoma" w:hAnsi="Tahoma" w:cs="Tahoma"/>
        <w:sz w:val="20"/>
      </w:rPr>
      <w:t>Č</w:t>
    </w:r>
    <w:r w:rsidR="00F23B25" w:rsidRPr="00392F5C">
      <w:rPr>
        <w:rFonts w:ascii="Tahoma" w:hAnsi="Tahoma" w:cs="Tahoma"/>
        <w:sz w:val="20"/>
      </w:rPr>
      <w:t>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B14C4"/>
    <w:rsid w:val="007B14D8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B1981"/>
    <w:rsid w:val="008C784D"/>
    <w:rsid w:val="009144BF"/>
    <w:rsid w:val="00953B8D"/>
    <w:rsid w:val="0098276C"/>
    <w:rsid w:val="00983C73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43F4C"/>
    <w:rsid w:val="00BD4F09"/>
    <w:rsid w:val="00BE1648"/>
    <w:rsid w:val="00BF7377"/>
    <w:rsid w:val="00C043BD"/>
    <w:rsid w:val="00C56C30"/>
    <w:rsid w:val="00C73F9E"/>
    <w:rsid w:val="00C904DB"/>
    <w:rsid w:val="00C96152"/>
    <w:rsid w:val="00C97ED1"/>
    <w:rsid w:val="00CC2C12"/>
    <w:rsid w:val="00CE399B"/>
    <w:rsid w:val="00D210D8"/>
    <w:rsid w:val="00D31C41"/>
    <w:rsid w:val="00D35970"/>
    <w:rsid w:val="00D5214E"/>
    <w:rsid w:val="00D61B8B"/>
    <w:rsid w:val="00DF3CDF"/>
    <w:rsid w:val="00E06FAC"/>
    <w:rsid w:val="00E12086"/>
    <w:rsid w:val="00E20C12"/>
    <w:rsid w:val="00E7423F"/>
    <w:rsid w:val="00E97DBD"/>
    <w:rsid w:val="00EE5939"/>
    <w:rsid w:val="00F23B25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30</cp:revision>
  <dcterms:created xsi:type="dcterms:W3CDTF">2021-07-19T16:02:00Z</dcterms:created>
  <dcterms:modified xsi:type="dcterms:W3CDTF">2026-04-09T07:43:00Z</dcterms:modified>
</cp:coreProperties>
</file>