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2E28" w14:textId="77777777" w:rsidR="000C71BF" w:rsidRPr="00A6751F" w:rsidRDefault="000C71BF" w:rsidP="000C71B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Pr>
          <w:rFonts w:asciiTheme="minorHAnsi" w:hAnsiTheme="minorHAnsi" w:cstheme="minorHAnsi"/>
          <w:sz w:val="22"/>
          <w:szCs w:val="22"/>
        </w:rPr>
        <w:t>57</w:t>
      </w:r>
      <w:r w:rsidRPr="00A6751F">
        <w:rPr>
          <w:rFonts w:asciiTheme="minorHAnsi" w:hAnsiTheme="minorHAnsi" w:cstheme="minorHAnsi"/>
          <w:sz w:val="22"/>
          <w:szCs w:val="22"/>
        </w:rPr>
        <w:t>/2</w:t>
      </w:r>
      <w:r>
        <w:rPr>
          <w:rFonts w:asciiTheme="minorHAnsi" w:hAnsiTheme="minorHAnsi" w:cstheme="minorHAnsi"/>
          <w:sz w:val="22"/>
          <w:szCs w:val="22"/>
        </w:rPr>
        <w:t>6</w:t>
      </w:r>
      <w:r w:rsidRPr="00A6751F">
        <w:rPr>
          <w:rFonts w:asciiTheme="minorHAnsi" w:hAnsiTheme="minorHAnsi" w:cstheme="minorHAnsi"/>
          <w:sz w:val="22"/>
          <w:szCs w:val="22"/>
        </w:rPr>
        <w:t>-9560-01</w:t>
      </w:r>
    </w:p>
    <w:p w14:paraId="553E8B92" w14:textId="77777777" w:rsidR="000C71BF" w:rsidRDefault="000C71BF" w:rsidP="009020A8">
      <w:pPr>
        <w:pStyle w:val="slo"/>
        <w:spacing w:before="0"/>
        <w:ind w:hanging="1418"/>
        <w:jc w:val="right"/>
        <w:rPr>
          <w:rFonts w:asciiTheme="minorHAnsi" w:hAnsiTheme="minorHAnsi" w:cstheme="minorHAnsi"/>
        </w:rPr>
      </w:pPr>
    </w:p>
    <w:p w14:paraId="6DDD4183" w14:textId="322B05C0" w:rsidR="000C71BF" w:rsidRDefault="000C71BF" w:rsidP="009020A8">
      <w:pPr>
        <w:pStyle w:val="slo"/>
        <w:spacing w:before="0"/>
        <w:ind w:hanging="1418"/>
        <w:jc w:val="right"/>
        <w:rPr>
          <w:rFonts w:asciiTheme="minorHAnsi" w:hAnsiTheme="minorHAnsi" w:cstheme="minorHAnsi"/>
        </w:rPr>
      </w:pPr>
    </w:p>
    <w:p w14:paraId="4B34688B" w14:textId="68C37096" w:rsidR="009020A8" w:rsidRPr="00071F63" w:rsidRDefault="000C71BF" w:rsidP="009020A8">
      <w:pPr>
        <w:pStyle w:val="slo"/>
        <w:spacing w:before="0"/>
        <w:ind w:hanging="1418"/>
        <w:jc w:val="right"/>
        <w:rPr>
          <w:rFonts w:ascii="Arial" w:hAnsi="Arial" w:cs="Arial"/>
          <w:b w:val="0"/>
        </w:rPr>
      </w:pPr>
      <w:r w:rsidRPr="00AB4823">
        <w:rPr>
          <w:noProof/>
        </w:rPr>
        <w:drawing>
          <wp:anchor distT="0" distB="0" distL="114300" distR="114300" simplePos="0" relativeHeight="251661312" behindDoc="1" locked="0" layoutInCell="1" allowOverlap="0" wp14:anchorId="57543296" wp14:editId="046DBF6B">
            <wp:simplePos x="0" y="0"/>
            <wp:positionH relativeFrom="page">
              <wp:posOffset>5145405</wp:posOffset>
            </wp:positionH>
            <wp:positionV relativeFrom="page">
              <wp:posOffset>1691005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0A8" w:rsidRPr="008F2C1E">
        <w:rPr>
          <w:rFonts w:asciiTheme="minorHAnsi" w:hAnsiTheme="minorHAnsi" w:cstheme="minorHAnsi"/>
        </w:rPr>
        <w:t>č.j.:</w:t>
      </w:r>
      <w:r w:rsidR="009020A8">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D68A8FC67524CDAB9174EFA50DDC979"/>
          </w:placeholder>
          <w:showingPlcHdr/>
        </w:sdtPr>
        <w:sdtContent>
          <w:r w:rsidR="009020A8" w:rsidRPr="00AB4823">
            <w:rPr>
              <w:rStyle w:val="Zstupntext"/>
              <w:rFonts w:asciiTheme="minorHAnsi" w:hAnsiTheme="minorHAnsi" w:cstheme="minorHAnsi"/>
            </w:rPr>
            <w:t>VSB/26/023321</w:t>
          </w:r>
        </w:sdtContent>
      </w:sdt>
    </w:p>
    <w:p w14:paraId="2B991129" w14:textId="379CF10D" w:rsidR="00CC25CC" w:rsidRPr="000C71BF" w:rsidRDefault="002126C0" w:rsidP="000C71BF">
      <w:pPr>
        <w:pStyle w:val="slo"/>
        <w:tabs>
          <w:tab w:val="clear" w:pos="1418"/>
          <w:tab w:val="left" w:pos="4215"/>
        </w:tabs>
        <w:spacing w:before="0"/>
        <w:ind w:hanging="1418"/>
        <w:rPr>
          <w:rFonts w:ascii="Arial" w:hAnsi="Arial" w:cs="Arial"/>
          <w:b w:val="0"/>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46C6758D" wp14:editId="2DCC9815">
                <wp:simplePos x="0" y="0"/>
                <wp:positionH relativeFrom="column">
                  <wp:posOffset>-650875</wp:posOffset>
                </wp:positionH>
                <wp:positionV relativeFrom="paragraph">
                  <wp:posOffset>647700</wp:posOffset>
                </wp:positionV>
                <wp:extent cx="1575435" cy="285750"/>
                <wp:effectExtent l="0" t="2857" r="2857" b="2858"/>
                <wp:wrapThrough wrapText="bothSides">
                  <wp:wrapPolygon edited="0">
                    <wp:start x="-39" y="21384"/>
                    <wp:lineTo x="21378" y="21384"/>
                    <wp:lineTo x="21378" y="1224"/>
                    <wp:lineTo x="-39" y="1224"/>
                    <wp:lineTo x="-39" y="21384"/>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6987F6F" w14:textId="2959F680" w:rsidR="002126C0" w:rsidRDefault="002126C0" w:rsidP="002126C0">
                            <w:pPr>
                              <w:pStyle w:val="slo"/>
                              <w:spacing w:before="0"/>
                              <w:ind w:hanging="1418"/>
                              <w:jc w:val="center"/>
                              <w:rPr>
                                <w:rFonts w:ascii="Arial" w:hAnsi="Arial" w:cs="Arial"/>
                                <w:b w:val="0"/>
                              </w:rPr>
                            </w:pPr>
                          </w:p>
                        </w:txbxContent>
                      </wps:txbx>
                      <wps:bodyPr rot="0" vertOverflow="clip" horzOverflow="clip" vert="horz" wrap="square" lIns="91440" tIns="45720" rIns="91440" bIns="45720" anchor="t" anchorCtr="0">
                        <a:noAutofit/>
                      </wps:bodyPr>
                    </wps:wsp>
                  </a:graphicData>
                </a:graphic>
              </wp:anchor>
            </w:drawing>
          </mc:Choice>
          <mc:Fallback>
            <w:pict>
              <v:shapetype w14:anchorId="46C6758D" id="_x0000_t202" coordsize="21600,21600" o:spt="202" path="m,l,21600r21600,l21600,xe">
                <v:stroke joinstyle="miter"/>
                <v:path gradientshapeok="t" o:connecttype="rect"/>
              </v:shapetype>
              <v:shape id="Textové pole 2" o:spid="_x0000_s1026" type="#_x0000_t202" style="position:absolute;left:0;text-align:left;margin-left:-51.25pt;margin-top:51pt;width:124.05pt;height:2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" stroked="f">
                <v:textbox>
                  <w:txbxContent>
                    <w:p w14:paraId="46987F6F" w14:textId="2959F680" w:rsidR="002126C0" w:rsidRDefault="002126C0" w:rsidP="002126C0">
                      <w:pPr>
                        <w:pStyle w:val="slo"/>
                        <w:spacing w:before="0"/>
                        <w:ind w:hanging="1418"/>
                        <w:jc w:val="center"/>
                        <w:rPr>
                          <w:rFonts w:ascii="Arial" w:hAnsi="Arial" w:cs="Arial"/>
                          <w:b w:val="0"/>
                        </w:rPr>
                      </w:pPr>
                    </w:p>
                  </w:txbxContent>
                </v:textbox>
                <w10:wrap type="through"/>
              </v:shape>
            </w:pict>
          </mc:Fallback>
        </mc:AlternateContent>
      </w:r>
      <w:r w:rsidR="000C71BF">
        <w:rPr>
          <w:rFonts w:ascii="Arial" w:hAnsi="Arial" w:cs="Arial"/>
          <w:b w:val="0"/>
        </w:rPr>
        <w:tab/>
      </w:r>
      <w:r w:rsidR="000C71BF">
        <w:rPr>
          <w:rFonts w:ascii="Arial" w:hAnsi="Arial" w:cs="Arial"/>
          <w:b w:val="0"/>
        </w:rPr>
        <w:tab/>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60F462CD"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2E5908">
        <w:rPr>
          <w:rFonts w:asciiTheme="minorHAnsi" w:hAnsiTheme="minorHAnsi" w:cstheme="minorHAnsi"/>
          <w:b/>
          <w:spacing w:val="-1"/>
          <w:sz w:val="28"/>
          <w:szCs w:val="28"/>
        </w:rPr>
        <w:t>2</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2E5908">
        <w:rPr>
          <w:rFonts w:asciiTheme="minorHAnsi" w:hAnsiTheme="minorHAnsi" w:cstheme="minorHAnsi"/>
          <w:b/>
          <w:spacing w:val="-1"/>
          <w:sz w:val="28"/>
          <w:szCs w:val="28"/>
        </w:rPr>
        <w:t>6</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2B61B3D9"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 xml:space="preserve">Elektrické spotřebiče </w:t>
      </w:r>
      <w:r w:rsidR="00FA0B51">
        <w:rPr>
          <w:rFonts w:asciiTheme="minorHAnsi" w:hAnsiTheme="minorHAnsi" w:cstheme="minorHAnsi"/>
          <w:spacing w:val="-1"/>
          <w:sz w:val="22"/>
          <w:szCs w:val="22"/>
        </w:rPr>
        <w:t>2026-2030</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2803EB41"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02071A">
        <w:rPr>
          <w:rFonts w:ascii="Calibri" w:hAnsi="Calibri" w:cs="Calibri"/>
          <w:b w:val="0"/>
          <w:bCs w:val="0"/>
          <w:kern w:val="0"/>
          <w:sz w:val="22"/>
          <w:szCs w:val="22"/>
        </w:rPr>
        <w:t>Mgr. Janem Vaškem</w:t>
      </w:r>
      <w:r w:rsidR="00235405" w:rsidRPr="00793B31">
        <w:rPr>
          <w:rFonts w:ascii="Calibri" w:hAnsi="Calibri" w:cs="Calibri"/>
          <w:b w:val="0"/>
          <w:bCs w:val="0"/>
          <w:kern w:val="0"/>
          <w:sz w:val="22"/>
          <w:szCs w:val="22"/>
        </w:rPr>
        <w:t>,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77777777"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134880998/0300</w:t>
      </w:r>
    </w:p>
    <w:p w14:paraId="42355C6D" w14:textId="11182C84"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013636">
        <w:rPr>
          <w:rFonts w:ascii="Calibri" w:hAnsi="Calibri" w:cs="Calibri"/>
          <w:sz w:val="22"/>
          <w:szCs w:val="22"/>
        </w:rPr>
        <w:t>Šára Hlaváčová</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420 733 627 8</w:t>
      </w:r>
      <w:r w:rsidR="00BC7C42">
        <w:rPr>
          <w:rFonts w:ascii="Calibri" w:hAnsi="Calibri" w:cs="Calibri"/>
          <w:sz w:val="22"/>
          <w:szCs w:val="22"/>
        </w:rPr>
        <w:t>6</w:t>
      </w:r>
      <w:r w:rsidR="00013636">
        <w:rPr>
          <w:rFonts w:ascii="Calibri" w:hAnsi="Calibri" w:cs="Calibri"/>
          <w:sz w:val="22"/>
          <w:szCs w:val="22"/>
        </w:rPr>
        <w:t>0</w:t>
      </w:r>
      <w:r w:rsidRPr="00793B31">
        <w:rPr>
          <w:rFonts w:ascii="Calibri" w:hAnsi="Calibri" w:cs="Calibri"/>
          <w:sz w:val="22"/>
          <w:szCs w:val="22"/>
        </w:rPr>
        <w:t xml:space="preserve"> </w:t>
      </w:r>
    </w:p>
    <w:p w14:paraId="1323A881" w14:textId="77F915CA"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F1279C" w:rsidRPr="007C19D7">
          <w:rPr>
            <w:rStyle w:val="Hypertextovodkaz"/>
            <w:rFonts w:ascii="Calibri" w:hAnsi="Calibri" w:cs="Calibri"/>
            <w:b w:val="0"/>
            <w:bCs w:val="0"/>
            <w:kern w:val="0"/>
            <w:sz w:val="22"/>
            <w:szCs w:val="22"/>
          </w:rPr>
          <w:t>sarka.hlavacova@vsb.cz</w:t>
        </w:r>
      </w:hyperlink>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IČ :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r w:rsidRPr="00793B31">
        <w:rPr>
          <w:rFonts w:ascii="Calibri" w:hAnsi="Calibri" w:cs="Calibri"/>
          <w:bCs/>
          <w:sz w:val="22"/>
          <w:szCs w:val="22"/>
        </w:rPr>
        <w:t xml:space="preserve">DIČ: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spojení: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účtu: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lastRenderedPageBreak/>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3378B911"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D52572">
      <w:pPr>
        <w:pStyle w:val="Odstavecseseznamem"/>
        <w:numPr>
          <w:ilvl w:val="0"/>
          <w:numId w:val="3"/>
        </w:numPr>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w:t>
      </w:r>
      <w:r w:rsidRPr="00B42995">
        <w:rPr>
          <w:rFonts w:asciiTheme="minorHAnsi" w:hAnsiTheme="minorHAnsi" w:cstheme="minorHAnsi"/>
          <w:sz w:val="22"/>
          <w:szCs w:val="22"/>
        </w:rPr>
        <w:lastRenderedPageBreak/>
        <w:t>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w:t>
      </w:r>
      <w:r w:rsidRPr="009C0816">
        <w:rPr>
          <w:rFonts w:asciiTheme="minorHAnsi" w:hAnsiTheme="minorHAnsi" w:cstheme="minorHAnsi"/>
        </w:rPr>
        <w:lastRenderedPageBreak/>
        <w:t xml:space="preserve">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rodávající v 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65A8A0E3" w14:textId="77777777" w:rsidR="00A169DD" w:rsidRDefault="00A169DD" w:rsidP="005C213D">
      <w:pP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2619BC64"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447F0C">
        <w:rPr>
          <w:rFonts w:asciiTheme="minorHAnsi" w:hAnsiTheme="minorHAnsi" w:cstheme="minorHAnsi"/>
          <w:sz w:val="22"/>
          <w:szCs w:val="22"/>
        </w:rPr>
        <w:t>nejpozd</w:t>
      </w:r>
      <w:r w:rsidR="00447F0C" w:rsidRPr="007F440B">
        <w:rPr>
          <w:rFonts w:asciiTheme="minorHAnsi" w:hAnsiTheme="minorHAnsi" w:cstheme="minorHAnsi"/>
          <w:sz w:val="22"/>
          <w:szCs w:val="22"/>
        </w:rPr>
        <w:t xml:space="preserve">ěji </w:t>
      </w:r>
      <w:r w:rsidR="00447F0C" w:rsidRPr="007F440B">
        <w:rPr>
          <w:rFonts w:asciiTheme="minorHAnsi" w:hAnsiTheme="minorHAnsi" w:cstheme="minorHAnsi"/>
          <w:b/>
          <w:sz w:val="22"/>
          <w:szCs w:val="22"/>
        </w:rPr>
        <w:t xml:space="preserve">do </w:t>
      </w:r>
      <w:r w:rsidR="00C765DA" w:rsidRPr="007F440B">
        <w:rPr>
          <w:rFonts w:asciiTheme="minorHAnsi" w:hAnsiTheme="minorHAnsi" w:cstheme="minorHAnsi"/>
          <w:b/>
          <w:sz w:val="22"/>
          <w:szCs w:val="22"/>
        </w:rPr>
        <w:t>30 dnů</w:t>
      </w:r>
      <w:r w:rsidR="00C765DA" w:rsidRPr="00C765DA">
        <w:rPr>
          <w:rFonts w:asciiTheme="minorHAnsi" w:hAnsiTheme="minorHAnsi" w:cstheme="minorHAnsi"/>
          <w:b/>
          <w:sz w:val="22"/>
          <w:szCs w:val="22"/>
        </w:rPr>
        <w:t xml:space="preserve">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324E9D8B"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 xml:space="preserve">Prodávající je povinen předmět koupě dodat do místa plnění: </w:t>
      </w:r>
      <w:r w:rsidR="00BC7C42" w:rsidRPr="00F148F2">
        <w:rPr>
          <w:rFonts w:asciiTheme="minorHAnsi" w:hAnsiTheme="minorHAnsi" w:cstheme="minorHAnsi"/>
          <w:sz w:val="22"/>
          <w:szCs w:val="22"/>
        </w:rPr>
        <w:t>areál kolejí</w:t>
      </w:r>
      <w:r w:rsidR="00BC7C42" w:rsidRPr="007F440B">
        <w:rPr>
          <w:rFonts w:asciiTheme="minorHAnsi" w:hAnsiTheme="minorHAnsi" w:cstheme="minorHAnsi"/>
          <w:sz w:val="22"/>
          <w:szCs w:val="22"/>
        </w:rPr>
        <w:t xml:space="preserve">, </w:t>
      </w:r>
      <w:r w:rsidR="0043128F">
        <w:rPr>
          <w:rFonts w:asciiTheme="minorHAnsi" w:hAnsiTheme="minorHAnsi" w:cstheme="minorHAnsi"/>
          <w:sz w:val="22"/>
          <w:szCs w:val="22"/>
        </w:rPr>
        <w:t xml:space="preserve">do budovy C </w:t>
      </w:r>
      <w:r w:rsidR="004A0A31">
        <w:rPr>
          <w:rFonts w:asciiTheme="minorHAnsi" w:hAnsiTheme="minorHAnsi" w:cstheme="minorHAnsi"/>
          <w:sz w:val="22"/>
          <w:szCs w:val="22"/>
        </w:rPr>
        <w:t>dod</w:t>
      </w:r>
      <w:r w:rsidR="00B715FD">
        <w:rPr>
          <w:rFonts w:asciiTheme="minorHAnsi" w:hAnsiTheme="minorHAnsi" w:cstheme="minorHAnsi"/>
          <w:sz w:val="22"/>
          <w:szCs w:val="22"/>
        </w:rPr>
        <w:t>at</w:t>
      </w:r>
      <w:r w:rsidR="005E7058">
        <w:rPr>
          <w:rFonts w:asciiTheme="minorHAnsi" w:hAnsiTheme="minorHAnsi" w:cstheme="minorHAnsi"/>
          <w:sz w:val="22"/>
          <w:szCs w:val="22"/>
        </w:rPr>
        <w:t xml:space="preserve"> </w:t>
      </w:r>
      <w:r w:rsidR="00A5613A">
        <w:rPr>
          <w:rFonts w:asciiTheme="minorHAnsi" w:hAnsiTheme="minorHAnsi" w:cstheme="minorHAnsi"/>
          <w:sz w:val="22"/>
          <w:szCs w:val="22"/>
        </w:rPr>
        <w:t xml:space="preserve">48 kusů chladniček a 2 mikrovlnné trouby, ostatní zboží </w:t>
      </w:r>
      <w:r w:rsidR="005E7058">
        <w:rPr>
          <w:rFonts w:asciiTheme="minorHAnsi" w:hAnsiTheme="minorHAnsi" w:cstheme="minorHAnsi"/>
          <w:sz w:val="22"/>
          <w:szCs w:val="22"/>
        </w:rPr>
        <w:t>dod</w:t>
      </w:r>
      <w:r w:rsidR="00B715FD">
        <w:rPr>
          <w:rFonts w:asciiTheme="minorHAnsi" w:hAnsiTheme="minorHAnsi" w:cstheme="minorHAnsi"/>
          <w:sz w:val="22"/>
          <w:szCs w:val="22"/>
        </w:rPr>
        <w:t>at</w:t>
      </w:r>
      <w:r w:rsidR="005E7058">
        <w:rPr>
          <w:rFonts w:asciiTheme="minorHAnsi" w:hAnsiTheme="minorHAnsi" w:cstheme="minorHAnsi"/>
          <w:sz w:val="22"/>
          <w:szCs w:val="22"/>
        </w:rPr>
        <w:t xml:space="preserve"> na </w:t>
      </w:r>
      <w:r w:rsidR="00E02D28" w:rsidRPr="007F440B">
        <w:rPr>
          <w:rFonts w:asciiTheme="minorHAnsi" w:hAnsiTheme="minorHAnsi" w:cstheme="minorHAnsi"/>
          <w:sz w:val="22"/>
          <w:szCs w:val="22"/>
        </w:rPr>
        <w:t>recepc</w:t>
      </w:r>
      <w:r w:rsidR="005E7058">
        <w:rPr>
          <w:rFonts w:asciiTheme="minorHAnsi" w:hAnsiTheme="minorHAnsi" w:cstheme="minorHAnsi"/>
          <w:sz w:val="22"/>
          <w:szCs w:val="22"/>
        </w:rPr>
        <w:t>i</w:t>
      </w:r>
      <w:r w:rsidR="00E02D28" w:rsidRPr="007F440B">
        <w:rPr>
          <w:rFonts w:asciiTheme="minorHAnsi" w:hAnsiTheme="minorHAnsi" w:cstheme="minorHAnsi"/>
          <w:sz w:val="22"/>
          <w:szCs w:val="22"/>
        </w:rPr>
        <w:t xml:space="preserve"> </w:t>
      </w:r>
      <w:r w:rsidR="00BC7C42" w:rsidRPr="007F440B">
        <w:rPr>
          <w:rFonts w:asciiTheme="minorHAnsi" w:hAnsiTheme="minorHAnsi" w:cstheme="minorHAnsi"/>
          <w:sz w:val="22"/>
          <w:szCs w:val="22"/>
        </w:rPr>
        <w:t>budov AB,</w:t>
      </w:r>
      <w:r w:rsidR="00BC7C42" w:rsidRPr="00F148F2">
        <w:rPr>
          <w:rFonts w:asciiTheme="minorHAnsi" w:hAnsiTheme="minorHAnsi" w:cstheme="minorHAnsi"/>
          <w:sz w:val="22"/>
          <w:szCs w:val="22"/>
        </w:rPr>
        <w:t xml:space="preserve"> Vysoké školy báňské – Technické univerzity Ostrava, ul. Studentská 1770/1, 708 00 Ostrava – Poruba.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7A59DC7B" w14:textId="03BC3C4C" w:rsidR="00055D80" w:rsidRDefault="00055D80" w:rsidP="0016119E">
      <w:pPr>
        <w:widowControl w:val="0"/>
        <w:autoSpaceDE w:val="0"/>
        <w:autoSpaceDN w:val="0"/>
        <w:adjustRightInd w:val="0"/>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s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0BEA5BA9"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275228">
        <w:rPr>
          <w:rFonts w:asciiTheme="minorHAnsi" w:hAnsiTheme="minorHAnsi" w:cstheme="minorHAnsi"/>
          <w:sz w:val="22"/>
          <w:szCs w:val="22"/>
        </w:rPr>
        <w:t>2</w:t>
      </w:r>
      <w:r w:rsidR="006A55B7">
        <w:rPr>
          <w:rFonts w:asciiTheme="minorHAnsi" w:hAnsiTheme="minorHAnsi" w:cstheme="minorHAnsi"/>
          <w:sz w:val="22"/>
          <w:szCs w:val="22"/>
        </w:rPr>
        <w:t>/202</w:t>
      </w:r>
      <w:r w:rsidR="00275228">
        <w:rPr>
          <w:rFonts w:asciiTheme="minorHAnsi" w:hAnsiTheme="minorHAnsi" w:cstheme="minorHAnsi"/>
          <w:sz w:val="22"/>
          <w:szCs w:val="22"/>
        </w:rPr>
        <w:t>6</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lastRenderedPageBreak/>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16119E">
      <w:pPr>
        <w:shd w:val="clear" w:color="auto" w:fill="FFFFFF"/>
        <w:suppressAutoHyphens/>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w:t>
      </w:r>
      <w:r>
        <w:rPr>
          <w:rFonts w:asciiTheme="minorHAnsi" w:hAnsiTheme="minorHAnsi" w:cstheme="minorHAnsi"/>
          <w:sz w:val="22"/>
          <w:szCs w:val="22"/>
        </w:rPr>
        <w:lastRenderedPageBreak/>
        <w:t xml:space="preserve">z vadného plnění vzniká i v tomto případě doručením reklamace prodávajícímu. Prokáže-li se, 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274E965C" w14:textId="4E0AF298" w:rsidR="00E220E1" w:rsidRPr="0036688F" w:rsidRDefault="00CC25CC" w:rsidP="0016119E">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16119E">
      <w:pPr>
        <w:numPr>
          <w:ilvl w:val="0"/>
          <w:numId w:val="4"/>
        </w:numPr>
        <w:shd w:val="clear" w:color="auto" w:fill="FFFFFF"/>
        <w:suppressAutoHyphens/>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lastRenderedPageBreak/>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65C59A26" w14:textId="68FBF0CB" w:rsidR="00CD7383" w:rsidRPr="006D529E" w:rsidRDefault="006D529E" w:rsidP="006D529E">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Šárka Hlaváčová</w:t>
      </w:r>
      <w:r w:rsidR="00CD7383">
        <w:rPr>
          <w:rFonts w:asciiTheme="minorHAnsi" w:hAnsiTheme="minorHAnsi" w:cstheme="minorHAnsi"/>
          <w:sz w:val="22"/>
          <w:szCs w:val="22"/>
        </w:rPr>
        <w:t xml:space="preserve">, Ubytovací služby,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+ 420 733 627 86</w:t>
      </w:r>
      <w:r>
        <w:rPr>
          <w:rFonts w:asciiTheme="minorHAnsi" w:hAnsiTheme="minorHAnsi" w:cstheme="minorHAnsi"/>
          <w:sz w:val="22"/>
          <w:szCs w:val="22"/>
        </w:rPr>
        <w:t>0</w:t>
      </w:r>
      <w:r w:rsidR="00CD7383">
        <w:rPr>
          <w:rFonts w:asciiTheme="minorHAnsi" w:hAnsiTheme="minorHAnsi" w:cstheme="minorHAnsi"/>
          <w:sz w:val="22"/>
          <w:szCs w:val="22"/>
        </w:rPr>
        <w:t>,</w:t>
      </w:r>
      <w:r w:rsidR="00CD7383" w:rsidRPr="0060190A">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4" w:history="1">
        <w:r w:rsidRPr="0000582C">
          <w:rPr>
            <w:rStyle w:val="Hypertextovodkaz"/>
            <w:rFonts w:asciiTheme="minorHAnsi" w:hAnsiTheme="minorHAnsi" w:cstheme="minorHAnsi"/>
            <w:sz w:val="22"/>
            <w:szCs w:val="22"/>
          </w:rPr>
          <w:t>sarka.hlavacova@vsb.cz</w:t>
        </w:r>
      </w:hyperlink>
    </w:p>
    <w:p w14:paraId="51F4F649" w14:textId="68B79AF0" w:rsidR="0099491E" w:rsidRPr="00B42995" w:rsidRDefault="00CD7383" w:rsidP="00CD7383">
      <w:pPr>
        <w:spacing w:before="120" w:after="120"/>
        <w:ind w:left="426"/>
        <w:jc w:val="both"/>
        <w:rPr>
          <w:rFonts w:asciiTheme="minorHAnsi" w:hAnsiTheme="minorHAnsi" w:cstheme="minorHAnsi"/>
          <w:sz w:val="22"/>
          <w:szCs w:val="22"/>
        </w:rPr>
      </w:pPr>
      <w:r w:rsidRPr="001171BE">
        <w:rPr>
          <w:rFonts w:asciiTheme="minorHAnsi" w:hAnsiTheme="minorHAnsi" w:cstheme="minorHAnsi"/>
          <w:sz w:val="22"/>
          <w:szCs w:val="22"/>
        </w:rPr>
        <w:t xml:space="preserve">Ing. Andrea Husťáková, </w:t>
      </w:r>
      <w:r>
        <w:rPr>
          <w:rFonts w:asciiTheme="minorHAnsi" w:hAnsiTheme="minorHAnsi" w:cstheme="minorHAnsi"/>
          <w:sz w:val="22"/>
          <w:szCs w:val="22"/>
        </w:rPr>
        <w:t>vedoucí provozu ubytování</w:t>
      </w:r>
      <w:r w:rsidRPr="001171BE">
        <w:rPr>
          <w:rFonts w:asciiTheme="minorHAnsi" w:hAnsiTheme="minorHAnsi" w:cstheme="minorHAnsi"/>
          <w:sz w:val="22"/>
          <w:szCs w:val="22"/>
        </w:rPr>
        <w:t xml:space="preserve">, tel. č.: + 420 733 627 862, e-mail: </w:t>
      </w:r>
      <w:hyperlink r:id="rId15" w:history="1">
        <w:r w:rsidRPr="001A1E72">
          <w:rPr>
            <w:rStyle w:val="Hypertextovodkaz"/>
            <w:rFonts w:asciiTheme="minorHAnsi" w:hAnsiTheme="minorHAnsi" w:cstheme="minorHAnsi"/>
            <w:sz w:val="22"/>
            <w:szCs w:val="22"/>
          </w:rPr>
          <w:t>andrea.hustakova@vsb.cz</w:t>
        </w:r>
      </w:hyperlink>
    </w:p>
    <w:p w14:paraId="68613DC4" w14:textId="77777777" w:rsidR="006258C3" w:rsidRPr="0060190A" w:rsidRDefault="006258C3" w:rsidP="001A5C2E">
      <w:pPr>
        <w:pStyle w:val="Odstavecseseznamem"/>
        <w:spacing w:before="120" w:after="120"/>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176990C3" w14:textId="30F54EE0" w:rsidR="0099491E" w:rsidRPr="00055D80" w:rsidRDefault="0099491E" w:rsidP="00055D80">
      <w:pPr>
        <w:spacing w:before="120"/>
        <w:jc w:val="both"/>
        <w:rPr>
          <w:rFonts w:asciiTheme="minorHAnsi" w:hAnsiTheme="minorHAnsi" w:cstheme="minorHAnsi"/>
          <w:sz w:val="22"/>
          <w:szCs w:val="22"/>
        </w:rPr>
      </w:pP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35CCA7E1"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Tato smlouva nabývá platnosti dnem podpisu smlouvy</w:t>
      </w:r>
      <w:r w:rsidR="005C73D1">
        <w:rPr>
          <w:rFonts w:asciiTheme="minorHAnsi" w:hAnsiTheme="minorHAnsi" w:cstheme="minorHAnsi"/>
          <w:sz w:val="22"/>
          <w:szCs w:val="22"/>
        </w:rPr>
        <w:t xml:space="preserve">. Účinnosti </w:t>
      </w:r>
      <w:r w:rsidR="00DB7902" w:rsidRPr="00F148F2">
        <w:rPr>
          <w:rFonts w:asciiTheme="minorHAnsi" w:hAnsiTheme="minorHAnsi" w:cstheme="minorHAnsi"/>
          <w:sz w:val="22"/>
          <w:szCs w:val="22"/>
        </w:rPr>
        <w:t xml:space="preserve">nabývá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591682AD"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je příloha č. 1</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r w:rsidR="009F6263" w:rsidRPr="000A7C18">
        <w:rPr>
          <w:rFonts w:asciiTheme="minorHAnsi" w:hAnsiTheme="minorHAnsi" w:cstheme="minorHAnsi"/>
          <w:color w:val="000000"/>
          <w:sz w:val="22"/>
          <w:szCs w:val="22"/>
        </w:rPr>
        <w:t>(</w:t>
      </w:r>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3DCD7794" w:rsidR="00CC25CC" w:rsidRDefault="00CD42B4"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Mgr. Jan Vašek</w:t>
      </w:r>
      <w:r w:rsidR="009F6263">
        <w:rPr>
          <w:rFonts w:asciiTheme="minorHAnsi" w:hAnsiTheme="minorHAnsi" w:cstheme="minorHAnsi"/>
          <w:b w:val="0"/>
          <w:bCs w:val="0"/>
          <w:kern w:val="0"/>
          <w:sz w:val="22"/>
          <w:szCs w:val="22"/>
        </w:rPr>
        <w:t>,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009F6263"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6"/>
      <w:footerReference w:type="default" r:id="rId17"/>
      <w:headerReference w:type="first" r:id="rId18"/>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724" w14:textId="77777777" w:rsidR="003C5849" w:rsidRDefault="003C5849">
      <w:r>
        <w:separator/>
      </w:r>
    </w:p>
  </w:endnote>
  <w:endnote w:type="continuationSeparator" w:id="0">
    <w:p w14:paraId="559774DC" w14:textId="77777777" w:rsidR="003C5849" w:rsidRDefault="003C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3C5849"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8739" w14:textId="77777777" w:rsidR="003C5849" w:rsidRDefault="003C5849">
      <w:r>
        <w:separator/>
      </w:r>
    </w:p>
  </w:footnote>
  <w:footnote w:type="continuationSeparator" w:id="0">
    <w:p w14:paraId="5E23AC85" w14:textId="77777777" w:rsidR="003C5849" w:rsidRDefault="003C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6B5D5F3D" w:rsidR="005B7F7B" w:rsidRPr="00A6751F" w:rsidRDefault="000C71BF" w:rsidP="000C71BF">
    <w:pPr>
      <w:tabs>
        <w:tab w:val="center" w:pos="4536"/>
        <w:tab w:val="right" w:pos="9072"/>
      </w:tabs>
      <w:jc w:val="center"/>
      <w:rPr>
        <w:rFonts w:asciiTheme="minorHAnsi" w:hAnsiTheme="minorHAnsi" w:cstheme="minorHAnsi"/>
        <w:sz w:val="22"/>
        <w:szCs w:val="22"/>
      </w:rPr>
    </w:pPr>
    <w:r>
      <w:rPr>
        <w:rFonts w:ascii="Bookman Old Style" w:hAnsi="Bookman Old Style"/>
        <w:noProof/>
        <w:sz w:val="20"/>
        <w:szCs w:val="20"/>
      </w:rPr>
      <w:drawing>
        <wp:inline distT="0" distB="0" distL="0" distR="0" wp14:anchorId="4F4D7B81" wp14:editId="6A87E6EB">
          <wp:extent cx="1681500" cy="684000"/>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500" cy="68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071A"/>
    <w:rsid w:val="00025FC2"/>
    <w:rsid w:val="00055D80"/>
    <w:rsid w:val="00085E5B"/>
    <w:rsid w:val="000A4C38"/>
    <w:rsid w:val="000A6D9D"/>
    <w:rsid w:val="000A7C18"/>
    <w:rsid w:val="000B425F"/>
    <w:rsid w:val="000C0DC6"/>
    <w:rsid w:val="000C71BF"/>
    <w:rsid w:val="000E13FB"/>
    <w:rsid w:val="000E21CA"/>
    <w:rsid w:val="000E75AC"/>
    <w:rsid w:val="001103C5"/>
    <w:rsid w:val="00112FA5"/>
    <w:rsid w:val="001171BE"/>
    <w:rsid w:val="0016119E"/>
    <w:rsid w:val="00165B76"/>
    <w:rsid w:val="00173B7B"/>
    <w:rsid w:val="00190ECD"/>
    <w:rsid w:val="00197E76"/>
    <w:rsid w:val="001A4DA9"/>
    <w:rsid w:val="001A57AC"/>
    <w:rsid w:val="001A5C2E"/>
    <w:rsid w:val="001B3EB9"/>
    <w:rsid w:val="001B5528"/>
    <w:rsid w:val="001C4892"/>
    <w:rsid w:val="001D29A4"/>
    <w:rsid w:val="002031D6"/>
    <w:rsid w:val="002126C0"/>
    <w:rsid w:val="002151FF"/>
    <w:rsid w:val="00230A57"/>
    <w:rsid w:val="00235405"/>
    <w:rsid w:val="002457F2"/>
    <w:rsid w:val="00266CB3"/>
    <w:rsid w:val="0027077A"/>
    <w:rsid w:val="00275228"/>
    <w:rsid w:val="00285067"/>
    <w:rsid w:val="002B6444"/>
    <w:rsid w:val="002D0F15"/>
    <w:rsid w:val="002D29EA"/>
    <w:rsid w:val="002D62FB"/>
    <w:rsid w:val="002D729E"/>
    <w:rsid w:val="002E5908"/>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C5849"/>
    <w:rsid w:val="003D0DC2"/>
    <w:rsid w:val="003D3BBB"/>
    <w:rsid w:val="003D760D"/>
    <w:rsid w:val="003E298E"/>
    <w:rsid w:val="00403829"/>
    <w:rsid w:val="0040504B"/>
    <w:rsid w:val="00406B36"/>
    <w:rsid w:val="0041340C"/>
    <w:rsid w:val="00425FBB"/>
    <w:rsid w:val="00426457"/>
    <w:rsid w:val="0043128F"/>
    <w:rsid w:val="00432DDC"/>
    <w:rsid w:val="004443A3"/>
    <w:rsid w:val="00446842"/>
    <w:rsid w:val="00447F0C"/>
    <w:rsid w:val="0046119F"/>
    <w:rsid w:val="004A0A31"/>
    <w:rsid w:val="004D1388"/>
    <w:rsid w:val="004F6865"/>
    <w:rsid w:val="005050ED"/>
    <w:rsid w:val="00516D35"/>
    <w:rsid w:val="0054539C"/>
    <w:rsid w:val="00570804"/>
    <w:rsid w:val="005858CF"/>
    <w:rsid w:val="00591766"/>
    <w:rsid w:val="005B29A0"/>
    <w:rsid w:val="005C213D"/>
    <w:rsid w:val="005C73D1"/>
    <w:rsid w:val="005E62C9"/>
    <w:rsid w:val="005E7058"/>
    <w:rsid w:val="005F604F"/>
    <w:rsid w:val="006009AF"/>
    <w:rsid w:val="0060190A"/>
    <w:rsid w:val="006147B4"/>
    <w:rsid w:val="006258C3"/>
    <w:rsid w:val="00633301"/>
    <w:rsid w:val="0064155D"/>
    <w:rsid w:val="0064630C"/>
    <w:rsid w:val="00651F18"/>
    <w:rsid w:val="00655098"/>
    <w:rsid w:val="006A55B7"/>
    <w:rsid w:val="006D43B1"/>
    <w:rsid w:val="006D529E"/>
    <w:rsid w:val="007018AB"/>
    <w:rsid w:val="00707919"/>
    <w:rsid w:val="00725002"/>
    <w:rsid w:val="00743AC6"/>
    <w:rsid w:val="007726A4"/>
    <w:rsid w:val="00793B31"/>
    <w:rsid w:val="00794A4A"/>
    <w:rsid w:val="007D01E2"/>
    <w:rsid w:val="007F440B"/>
    <w:rsid w:val="00812630"/>
    <w:rsid w:val="00836583"/>
    <w:rsid w:val="00842CAD"/>
    <w:rsid w:val="00857D1A"/>
    <w:rsid w:val="008964A7"/>
    <w:rsid w:val="008979EC"/>
    <w:rsid w:val="008B7687"/>
    <w:rsid w:val="008D1DFC"/>
    <w:rsid w:val="008D5682"/>
    <w:rsid w:val="008E5F41"/>
    <w:rsid w:val="008F1DA0"/>
    <w:rsid w:val="00901C48"/>
    <w:rsid w:val="009020A8"/>
    <w:rsid w:val="00904F4E"/>
    <w:rsid w:val="0090708D"/>
    <w:rsid w:val="00944166"/>
    <w:rsid w:val="00944901"/>
    <w:rsid w:val="00947298"/>
    <w:rsid w:val="00952F47"/>
    <w:rsid w:val="00956193"/>
    <w:rsid w:val="0099491E"/>
    <w:rsid w:val="00997A96"/>
    <w:rsid w:val="009A0048"/>
    <w:rsid w:val="009B435F"/>
    <w:rsid w:val="009C28BF"/>
    <w:rsid w:val="009D6755"/>
    <w:rsid w:val="009F6263"/>
    <w:rsid w:val="00A06A09"/>
    <w:rsid w:val="00A169DD"/>
    <w:rsid w:val="00A31675"/>
    <w:rsid w:val="00A413A4"/>
    <w:rsid w:val="00A438DE"/>
    <w:rsid w:val="00A53CC4"/>
    <w:rsid w:val="00A5613A"/>
    <w:rsid w:val="00A6751F"/>
    <w:rsid w:val="00A90253"/>
    <w:rsid w:val="00A94C5E"/>
    <w:rsid w:val="00A94F69"/>
    <w:rsid w:val="00AB533C"/>
    <w:rsid w:val="00AC1653"/>
    <w:rsid w:val="00AC6175"/>
    <w:rsid w:val="00AF36DC"/>
    <w:rsid w:val="00B02025"/>
    <w:rsid w:val="00B33DCB"/>
    <w:rsid w:val="00B42995"/>
    <w:rsid w:val="00B45AC6"/>
    <w:rsid w:val="00B60B7E"/>
    <w:rsid w:val="00B715FD"/>
    <w:rsid w:val="00B80F1A"/>
    <w:rsid w:val="00B84A31"/>
    <w:rsid w:val="00BA75E0"/>
    <w:rsid w:val="00BC7C42"/>
    <w:rsid w:val="00BD3FF8"/>
    <w:rsid w:val="00BE4B28"/>
    <w:rsid w:val="00C05BA8"/>
    <w:rsid w:val="00C15EF9"/>
    <w:rsid w:val="00C41AD8"/>
    <w:rsid w:val="00C679DF"/>
    <w:rsid w:val="00C765DA"/>
    <w:rsid w:val="00C84B2E"/>
    <w:rsid w:val="00CA361A"/>
    <w:rsid w:val="00CB5E96"/>
    <w:rsid w:val="00CC25CC"/>
    <w:rsid w:val="00CC409D"/>
    <w:rsid w:val="00CC77CA"/>
    <w:rsid w:val="00CD42B4"/>
    <w:rsid w:val="00CD7383"/>
    <w:rsid w:val="00CE73B7"/>
    <w:rsid w:val="00CF06D0"/>
    <w:rsid w:val="00D040F2"/>
    <w:rsid w:val="00D14FE2"/>
    <w:rsid w:val="00D15B3F"/>
    <w:rsid w:val="00D35786"/>
    <w:rsid w:val="00D52572"/>
    <w:rsid w:val="00D65220"/>
    <w:rsid w:val="00D73256"/>
    <w:rsid w:val="00D75E1A"/>
    <w:rsid w:val="00DB1631"/>
    <w:rsid w:val="00DB3464"/>
    <w:rsid w:val="00DB5A8F"/>
    <w:rsid w:val="00DB7902"/>
    <w:rsid w:val="00DE7A25"/>
    <w:rsid w:val="00DF7B5F"/>
    <w:rsid w:val="00E02D28"/>
    <w:rsid w:val="00E220E1"/>
    <w:rsid w:val="00E315DA"/>
    <w:rsid w:val="00E32A9A"/>
    <w:rsid w:val="00E54D4E"/>
    <w:rsid w:val="00E7159B"/>
    <w:rsid w:val="00E74D97"/>
    <w:rsid w:val="00E8066C"/>
    <w:rsid w:val="00E8143A"/>
    <w:rsid w:val="00E9264D"/>
    <w:rsid w:val="00E95583"/>
    <w:rsid w:val="00E96456"/>
    <w:rsid w:val="00EB32C2"/>
    <w:rsid w:val="00EB6FC2"/>
    <w:rsid w:val="00EC43E7"/>
    <w:rsid w:val="00ED4A78"/>
    <w:rsid w:val="00EF2FE1"/>
    <w:rsid w:val="00EF611F"/>
    <w:rsid w:val="00EF76C4"/>
    <w:rsid w:val="00F0677B"/>
    <w:rsid w:val="00F0774B"/>
    <w:rsid w:val="00F111A5"/>
    <w:rsid w:val="00F1279C"/>
    <w:rsid w:val="00F148F2"/>
    <w:rsid w:val="00F15580"/>
    <w:rsid w:val="00F15E8A"/>
    <w:rsid w:val="00F63BB9"/>
    <w:rsid w:val="00F85AE0"/>
    <w:rsid w:val="00F91CED"/>
    <w:rsid w:val="00FA0B51"/>
    <w:rsid w:val="00FD02D8"/>
    <w:rsid w:val="00FD69D8"/>
    <w:rsid w:val="00FE6A5D"/>
    <w:rsid w:val="00FF4B42"/>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ka.hlavaco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hustak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hlavacova@vs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68A8FC67524CDAB9174EFA50DDC979"/>
        <w:category>
          <w:name w:val="Obecné"/>
          <w:gallery w:val="placeholder"/>
        </w:category>
        <w:types>
          <w:type w:val="bbPlcHdr"/>
        </w:types>
        <w:behaviors>
          <w:behavior w:val="content"/>
        </w:behaviors>
        <w:guid w:val="{5C82358B-828A-49B0-9D0B-5E84F0D758DA}"/>
      </w:docPartPr>
      <w:docPartBody>
        <w:p w:rsidR="00000000" w:rsidRDefault="00BC0512" w:rsidP="00BC0512">
          <w:pPr>
            <w:pStyle w:val="4D68A8FC67524CDAB9174EFA50DDC979"/>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12"/>
    <w:rsid w:val="007809E6"/>
    <w:rsid w:val="00BC0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0512"/>
    <w:rPr>
      <w:color w:val="808080"/>
    </w:rPr>
  </w:style>
  <w:style w:type="paragraph" w:customStyle="1" w:styleId="4D68A8FC67524CDAB9174EFA50DDC979">
    <w:name w:val="4D68A8FC67524CDAB9174EFA50DDC979"/>
    <w:rsid w:val="00BC0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customXml/itemProps3.xml><?xml version="1.0" encoding="utf-8"?>
<ds:datastoreItem xmlns:ds="http://schemas.openxmlformats.org/officeDocument/2006/customXml" ds:itemID="{97F499B0-58FE-488B-8120-1167A98CCD03}">
  <ds:schemaRefs>
    <ds:schemaRef ds:uri="http://schemas.microsoft.com/sharepoint/v3/contenttype/forms"/>
  </ds:schemaRefs>
</ds:datastoreItem>
</file>

<file path=customXml/itemProps4.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3233</Words>
  <Characters>19081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57</cp:revision>
  <dcterms:created xsi:type="dcterms:W3CDTF">2024-05-20T05:39:00Z</dcterms:created>
  <dcterms:modified xsi:type="dcterms:W3CDTF">2026-03-17T07:01:00Z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