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04CBADBB" w:rsidR="0086675F" w:rsidRPr="00095C39" w:rsidRDefault="006125A0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proofErr w:type="spellStart"/>
      <w:r>
        <w:rPr>
          <w:rFonts w:ascii="Arial" w:hAnsi="Arial" w:cs="Arial"/>
          <w:b/>
          <w:sz w:val="32"/>
          <w:szCs w:val="16"/>
        </w:rPr>
        <w:t>Statutory</w:t>
      </w:r>
      <w:proofErr w:type="spellEnd"/>
      <w:r>
        <w:rPr>
          <w:rFonts w:ascii="Arial" w:hAnsi="Arial" w:cs="Arial"/>
          <w:b/>
          <w:sz w:val="32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16"/>
        </w:rPr>
        <w:t>declaration</w:t>
      </w:r>
      <w:proofErr w:type="spellEnd"/>
    </w:p>
    <w:p w14:paraId="487AFDA3" w14:textId="77777777" w:rsidR="00107AC3" w:rsidRPr="008364D7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16"/>
          <w:szCs w:val="4"/>
          <w:highlight w:val="yellow"/>
        </w:rPr>
      </w:pPr>
    </w:p>
    <w:p w14:paraId="671D45F5" w14:textId="43B5A8F6" w:rsidR="00B20276" w:rsidRPr="00095C39" w:rsidRDefault="00095C39" w:rsidP="00095C39">
      <w:pPr>
        <w:shd w:val="clear" w:color="auto" w:fill="FFFFFF"/>
        <w:jc w:val="both"/>
        <w:rPr>
          <w:rFonts w:ascii="Tahoma" w:hAnsi="Tahoma" w:cs="Tahoma"/>
          <w:sz w:val="20"/>
          <w:szCs w:val="20"/>
          <w:lang w:val="en"/>
        </w:rPr>
      </w:pPr>
      <w:r w:rsidRPr="00095C39">
        <w:rPr>
          <w:rFonts w:ascii="Tahoma" w:hAnsi="Tahoma" w:cs="Tahoma"/>
          <w:b/>
          <w:bCs/>
          <w:sz w:val="20"/>
          <w:szCs w:val="20"/>
          <w:lang w:val="en"/>
        </w:rPr>
        <w:t xml:space="preserve">As a participant in a tender for a public </w:t>
      </w:r>
      <w:r w:rsidRPr="006125A0">
        <w:rPr>
          <w:rFonts w:ascii="Tahoma" w:hAnsi="Tahoma" w:cs="Tahoma"/>
          <w:b/>
          <w:sz w:val="20"/>
          <w:szCs w:val="20"/>
          <w:lang w:val="en"/>
        </w:rPr>
        <w:t>contract under the designation</w:t>
      </w:r>
      <w:r w:rsidR="005A7392" w:rsidRPr="006125A0">
        <w:rPr>
          <w:rFonts w:ascii="Tahoma" w:hAnsi="Tahoma" w:cs="Tahoma"/>
          <w:b/>
          <w:sz w:val="20"/>
          <w:szCs w:val="20"/>
          <w:lang w:val="en"/>
        </w:rPr>
        <w:t xml:space="preserve"> „</w:t>
      </w:r>
      <w:proofErr w:type="spellStart"/>
      <w:r w:rsidR="006125A0" w:rsidRPr="006125A0">
        <w:rPr>
          <w:rFonts w:ascii="Tahoma" w:hAnsi="Tahoma" w:cs="Tahoma"/>
          <w:b/>
          <w:sz w:val="20"/>
          <w:szCs w:val="20"/>
          <w:lang w:val="en"/>
        </w:rPr>
        <w:t>Expansion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of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the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platform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for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testing and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advanced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control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methods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(HIL/RCP)</w:t>
      </w:r>
      <w:r w:rsidR="00B20276" w:rsidRPr="00095C39">
        <w:rPr>
          <w:rFonts w:ascii="Tahoma" w:hAnsi="Tahoma" w:cs="Tahoma"/>
          <w:b/>
          <w:sz w:val="20"/>
          <w:szCs w:val="20"/>
        </w:rPr>
        <w:t>:</w:t>
      </w:r>
    </w:p>
    <w:p w14:paraId="316144CF" w14:textId="6A9C157F" w:rsidR="00327E3C" w:rsidRPr="00095C39" w:rsidRDefault="00095C39" w:rsidP="00095C39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lang w:val="en"/>
        </w:rPr>
      </w:pPr>
      <w:r w:rsidRPr="00095C39">
        <w:rPr>
          <w:rFonts w:ascii="Tahoma" w:hAnsi="Tahoma" w:cs="Tahoma"/>
          <w:b/>
          <w:sz w:val="20"/>
          <w:lang w:val="en"/>
        </w:rPr>
        <w:t>that if a contract for the performance of a public contract is concluded with me, I will ensure the performance of the public contract throughout the entire period of performance of the public contract</w:t>
      </w:r>
      <w:r w:rsidR="0059663A" w:rsidRPr="00095C39">
        <w:rPr>
          <w:rFonts w:ascii="Tahoma" w:hAnsi="Tahoma" w:cs="Tahoma"/>
          <w:b/>
          <w:sz w:val="20"/>
          <w:szCs w:val="24"/>
        </w:rPr>
        <w:t>:</w:t>
      </w:r>
      <w:r w:rsidR="001A4E70" w:rsidRPr="00095C39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8364D7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12"/>
          <w:szCs w:val="14"/>
        </w:rPr>
      </w:pPr>
    </w:p>
    <w:p w14:paraId="64C6A165" w14:textId="77777777" w:rsidR="009A6649" w:rsidRPr="00CE399B" w:rsidRDefault="009A6649" w:rsidP="009A6649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0" w:name="_Hlk140142549"/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fulfillment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all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obligations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arising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from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legal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regulations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Czech Republic, in </w:t>
      </w:r>
      <w:proofErr w:type="spellStart"/>
      <w:r w:rsidRPr="00E061C2">
        <w:rPr>
          <w:rFonts w:ascii="Tahoma" w:hAnsi="Tahoma" w:cs="Tahoma"/>
          <w:sz w:val="20"/>
          <w:szCs w:val="20"/>
        </w:rPr>
        <w:t>particular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from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labour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regulations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regulations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from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sphere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employment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occupational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health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safety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vis-à-vis </w:t>
      </w:r>
      <w:proofErr w:type="spellStart"/>
      <w:r w:rsidRPr="00E061C2">
        <w:rPr>
          <w:rFonts w:ascii="Tahoma" w:hAnsi="Tahoma" w:cs="Tahoma"/>
          <w:sz w:val="20"/>
          <w:szCs w:val="20"/>
        </w:rPr>
        <w:t>all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persons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are </w:t>
      </w:r>
      <w:proofErr w:type="spellStart"/>
      <w:r w:rsidRPr="00E061C2">
        <w:rPr>
          <w:rFonts w:ascii="Tahoma" w:hAnsi="Tahoma" w:cs="Tahoma"/>
          <w:sz w:val="20"/>
          <w:szCs w:val="20"/>
        </w:rPr>
        <w:t>involved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subject-matter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; </w:t>
      </w:r>
      <w:proofErr w:type="spellStart"/>
      <w:r w:rsidRPr="00E061C2">
        <w:rPr>
          <w:rFonts w:ascii="Tahoma" w:hAnsi="Tahoma" w:cs="Tahoma"/>
          <w:sz w:val="20"/>
          <w:szCs w:val="20"/>
        </w:rPr>
        <w:t>it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shall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ensure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also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fulfil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these </w:t>
      </w:r>
      <w:proofErr w:type="spellStart"/>
      <w:r w:rsidRPr="00E061C2">
        <w:rPr>
          <w:rFonts w:ascii="Tahoma" w:hAnsi="Tahoma" w:cs="Tahoma"/>
          <w:sz w:val="20"/>
          <w:szCs w:val="20"/>
        </w:rPr>
        <w:t>obligations</w:t>
      </w:r>
      <w:bookmarkEnd w:id="0"/>
      <w:proofErr w:type="spellEnd"/>
      <w:r w:rsidRPr="00CE399B">
        <w:rPr>
          <w:rFonts w:ascii="Tahoma" w:hAnsi="Tahoma" w:cs="Tahoma"/>
          <w:sz w:val="20"/>
          <w:szCs w:val="22"/>
        </w:rPr>
        <w:t>,</w:t>
      </w:r>
    </w:p>
    <w:p w14:paraId="332A8EBC" w14:textId="77777777" w:rsidR="009A6649" w:rsidRPr="00CE399B" w:rsidRDefault="009A6649" w:rsidP="009A6649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59"/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arrangement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adherence to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conditions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/by </w:t>
      </w:r>
      <w:proofErr w:type="spellStart"/>
      <w:r w:rsidRPr="00E061C2">
        <w:rPr>
          <w:rFonts w:ascii="Tahoma" w:hAnsi="Tahoma" w:cs="Tahoma"/>
          <w:sz w:val="20"/>
          <w:szCs w:val="20"/>
        </w:rPr>
        <w:t>its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which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are </w:t>
      </w:r>
      <w:proofErr w:type="spellStart"/>
      <w:r w:rsidRPr="00E061C2">
        <w:rPr>
          <w:rFonts w:ascii="Tahoma" w:hAnsi="Tahoma" w:cs="Tahoma"/>
          <w:sz w:val="20"/>
          <w:szCs w:val="20"/>
        </w:rPr>
        <w:t>comparable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conditions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arranged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for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 minimum in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size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penalties</w:t>
      </w:r>
      <w:bookmarkEnd w:id="1"/>
      <w:proofErr w:type="spellEnd"/>
      <w:r w:rsidRPr="00CE399B">
        <w:rPr>
          <w:rFonts w:ascii="Tahoma" w:hAnsi="Tahoma" w:cs="Tahoma"/>
          <w:sz w:val="20"/>
          <w:szCs w:val="22"/>
        </w:rPr>
        <w:t xml:space="preserve">; </w:t>
      </w:r>
    </w:p>
    <w:p w14:paraId="02B2A37C" w14:textId="77777777" w:rsidR="009A6649" w:rsidRPr="00FE1675" w:rsidRDefault="009A6649" w:rsidP="009A6649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37627757"/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due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timely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fulfillment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financial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obligations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its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in </w:t>
      </w: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due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timely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fulfillment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deemed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be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full </w:t>
      </w:r>
      <w:proofErr w:type="spellStart"/>
      <w:r w:rsidRPr="00E061C2">
        <w:rPr>
          <w:rFonts w:ascii="Tahoma" w:hAnsi="Tahoma" w:cs="Tahoma"/>
          <w:sz w:val="20"/>
          <w:szCs w:val="20"/>
        </w:rPr>
        <w:t>payment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invoices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issued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by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for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duly </w:t>
      </w:r>
      <w:proofErr w:type="spellStart"/>
      <w:r w:rsidRPr="00E061C2">
        <w:rPr>
          <w:rFonts w:ascii="Tahoma" w:hAnsi="Tahoma" w:cs="Tahoma"/>
          <w:sz w:val="20"/>
          <w:szCs w:val="20"/>
        </w:rPr>
        <w:t>provided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relation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within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arranged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entirely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accordance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conditions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relationship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entered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into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</w:t>
      </w:r>
      <w:bookmarkEnd w:id="2"/>
      <w:proofErr w:type="spellEnd"/>
      <w:r w:rsidRPr="00FE1675">
        <w:rPr>
          <w:rFonts w:ascii="Tahoma" w:hAnsi="Tahoma" w:cs="Tahoma"/>
          <w:sz w:val="20"/>
          <w:szCs w:val="22"/>
        </w:rPr>
        <w:t>;</w:t>
      </w:r>
    </w:p>
    <w:p w14:paraId="0FD0F515" w14:textId="1A366FB7" w:rsidR="00327E3C" w:rsidRPr="00724964" w:rsidRDefault="009A6649" w:rsidP="009A6649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during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environmental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impacts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are </w:t>
      </w:r>
      <w:proofErr w:type="spellStart"/>
      <w:r w:rsidRPr="00E061C2">
        <w:rPr>
          <w:rFonts w:ascii="Tahoma" w:hAnsi="Tahoma" w:cs="Tahoma"/>
          <w:sz w:val="20"/>
          <w:szCs w:val="20"/>
        </w:rPr>
        <w:t>minimised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in </w:t>
      </w:r>
      <w:proofErr w:type="spellStart"/>
      <w:r w:rsidRPr="00E061C2">
        <w:rPr>
          <w:rFonts w:ascii="Tahoma" w:hAnsi="Tahoma" w:cs="Tahoma"/>
          <w:sz w:val="20"/>
          <w:szCs w:val="20"/>
        </w:rPr>
        <w:t>particular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by </w:t>
      </w:r>
      <w:proofErr w:type="spellStart"/>
      <w:r w:rsidRPr="00E061C2">
        <w:rPr>
          <w:rFonts w:ascii="Tahoma" w:hAnsi="Tahoma" w:cs="Tahoma"/>
          <w:sz w:val="20"/>
          <w:szCs w:val="20"/>
        </w:rPr>
        <w:t>sorting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waste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saving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energy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and </w:t>
      </w:r>
      <w:proofErr w:type="spellStart"/>
      <w:r w:rsidRPr="00E061C2">
        <w:rPr>
          <w:rFonts w:ascii="Tahoma" w:hAnsi="Tahoma" w:cs="Tahoma"/>
          <w:sz w:val="20"/>
          <w:szCs w:val="20"/>
        </w:rPr>
        <w:t>respecting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sustainability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possibilities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circular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economy</w:t>
      </w:r>
      <w:proofErr w:type="spellEnd"/>
      <w:r w:rsidRPr="00FE1675">
        <w:rPr>
          <w:rFonts w:ascii="Tahoma" w:hAnsi="Tahoma" w:cs="Tahoma"/>
          <w:sz w:val="20"/>
          <w:szCs w:val="22"/>
        </w:rPr>
        <w:t>.</w:t>
      </w:r>
    </w:p>
    <w:p w14:paraId="11634FBF" w14:textId="75EC54EA" w:rsidR="00A64F65" w:rsidRPr="00724964" w:rsidRDefault="00724964" w:rsidP="00724964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lang w:val="en"/>
        </w:rPr>
      </w:pPr>
      <w:r w:rsidRPr="00724964">
        <w:rPr>
          <w:rFonts w:ascii="Tahoma" w:hAnsi="Tahoma" w:cs="Tahoma"/>
          <w:b/>
          <w:sz w:val="20"/>
          <w:lang w:val="en"/>
        </w:rPr>
        <w:t xml:space="preserve">that we are not subject to Section 4b of Act No. 159/2006 Coll., on Conflict of Interest, as amended (hereinafter referred to as the "ZSZ"), i.e. that we are not a commercial company in which a public official referred to in Section 2 par. 1 point. c) ZSZ or a person controlled by him owns a share representing at least 25% of the shareholder's participation in the </w:t>
      </w:r>
      <w:proofErr w:type="gramStart"/>
      <w:r w:rsidRPr="00724964">
        <w:rPr>
          <w:rFonts w:ascii="Tahoma" w:hAnsi="Tahoma" w:cs="Tahoma"/>
          <w:b/>
          <w:sz w:val="20"/>
          <w:lang w:val="en"/>
        </w:rPr>
        <w:t>company</w:t>
      </w:r>
      <w:r w:rsidR="00B20276" w:rsidRPr="00724964">
        <w:rPr>
          <w:rFonts w:ascii="Tahoma" w:hAnsi="Tahoma" w:cs="Tahoma"/>
          <w:b/>
          <w:sz w:val="20"/>
          <w:szCs w:val="24"/>
        </w:rPr>
        <w:t>;</w:t>
      </w:r>
      <w:proofErr w:type="gramEnd"/>
    </w:p>
    <w:p w14:paraId="7CB05C38" w14:textId="0ECBBB1A" w:rsidR="00B20276" w:rsidRPr="00724964" w:rsidRDefault="008364D7" w:rsidP="00724964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lang w:val="en"/>
        </w:rPr>
      </w:pP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neither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nor </w:t>
      </w:r>
      <w:proofErr w:type="spellStart"/>
      <w:r w:rsidRPr="00FD620D">
        <w:rPr>
          <w:rFonts w:ascii="Tahoma" w:hAnsi="Tahoma" w:cs="Tahoma"/>
          <w:b/>
          <w:sz w:val="20"/>
        </w:rPr>
        <w:t>our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subcontractors</w:t>
      </w:r>
      <w:proofErr w:type="spellEnd"/>
      <w:r w:rsidRPr="00FD620D">
        <w:rPr>
          <w:rFonts w:ascii="Tahoma" w:hAnsi="Tahoma" w:cs="Tahoma"/>
          <w:b/>
          <w:sz w:val="20"/>
        </w:rPr>
        <w:t xml:space="preserve"> are </w:t>
      </w:r>
      <w:proofErr w:type="spellStart"/>
      <w:r w:rsidRPr="00FD620D">
        <w:rPr>
          <w:rFonts w:ascii="Tahoma" w:hAnsi="Tahoma" w:cs="Tahoma"/>
          <w:b/>
          <w:sz w:val="20"/>
        </w:rPr>
        <w:t>subject</w:t>
      </w:r>
      <w:proofErr w:type="spellEnd"/>
      <w:r w:rsidRPr="00FD620D">
        <w:rPr>
          <w:rFonts w:ascii="Tahoma" w:hAnsi="Tahoma" w:cs="Tahoma"/>
          <w:b/>
          <w:sz w:val="20"/>
        </w:rPr>
        <w:t xml:space="preserve"> to any </w:t>
      </w:r>
      <w:proofErr w:type="spellStart"/>
      <w:r w:rsidRPr="00FD620D">
        <w:rPr>
          <w:rFonts w:ascii="Tahoma" w:hAnsi="Tahoma" w:cs="Tahoma"/>
          <w:b/>
          <w:sz w:val="20"/>
        </w:rPr>
        <w:t>international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sanctions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pursuant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Pr="00FD620D">
        <w:rPr>
          <w:rFonts w:ascii="Tahoma" w:hAnsi="Tahoma" w:cs="Tahoma"/>
          <w:b/>
          <w:sz w:val="20"/>
        </w:rPr>
        <w:t xml:space="preserve"> No. 69/2006 </w:t>
      </w:r>
      <w:proofErr w:type="spellStart"/>
      <w:r w:rsidRPr="00FD620D">
        <w:rPr>
          <w:rFonts w:ascii="Tahoma" w:hAnsi="Tahoma" w:cs="Tahoma"/>
          <w:b/>
          <w:sz w:val="20"/>
        </w:rPr>
        <w:t>Coll</w:t>
      </w:r>
      <w:proofErr w:type="spellEnd"/>
      <w:r w:rsidRPr="00FD620D">
        <w:rPr>
          <w:rFonts w:ascii="Tahoma" w:hAnsi="Tahoma" w:cs="Tahoma"/>
          <w:b/>
          <w:sz w:val="20"/>
        </w:rPr>
        <w:t xml:space="preserve">., on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implementation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international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sanctions</w:t>
      </w:r>
      <w:proofErr w:type="spellEnd"/>
      <w:r w:rsidRPr="00FD620D">
        <w:rPr>
          <w:rFonts w:ascii="Tahoma" w:hAnsi="Tahoma" w:cs="Tahoma"/>
          <w:b/>
          <w:sz w:val="20"/>
        </w:rPr>
        <w:t xml:space="preserve">, as </w:t>
      </w:r>
      <w:proofErr w:type="spellStart"/>
      <w:r w:rsidRPr="00FD620D">
        <w:rPr>
          <w:rFonts w:ascii="Tahoma" w:hAnsi="Tahoma" w:cs="Tahoma"/>
          <w:b/>
          <w:sz w:val="20"/>
        </w:rPr>
        <w:t>amended</w:t>
      </w:r>
      <w:proofErr w:type="spellEnd"/>
      <w:r w:rsidRPr="00FD620D">
        <w:rPr>
          <w:rFonts w:ascii="Tahoma" w:hAnsi="Tahoma" w:cs="Tahoma"/>
          <w:b/>
          <w:sz w:val="20"/>
        </w:rPr>
        <w:t xml:space="preserve">, and </w:t>
      </w: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no </w:t>
      </w:r>
      <w:proofErr w:type="spellStart"/>
      <w:r w:rsidRPr="00FD620D">
        <w:rPr>
          <w:rFonts w:ascii="Tahoma" w:hAnsi="Tahoma" w:cs="Tahoma"/>
          <w:b/>
          <w:sz w:val="20"/>
        </w:rPr>
        <w:t>financial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funds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economic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resources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receive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for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performance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public </w:t>
      </w:r>
      <w:proofErr w:type="spellStart"/>
      <w:r w:rsidRPr="00FD620D">
        <w:rPr>
          <w:rFonts w:ascii="Tahoma" w:hAnsi="Tahoma" w:cs="Tahoma"/>
          <w:b/>
          <w:sz w:val="20"/>
        </w:rPr>
        <w:t>contract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will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be</w:t>
      </w:r>
      <w:proofErr w:type="spellEnd"/>
      <w:r w:rsidRPr="00FD620D">
        <w:rPr>
          <w:rFonts w:ascii="Tahoma" w:hAnsi="Tahoma" w:cs="Tahoma"/>
          <w:b/>
          <w:sz w:val="20"/>
        </w:rPr>
        <w:t xml:space="preserve"> made </w:t>
      </w:r>
      <w:proofErr w:type="spellStart"/>
      <w:r w:rsidRPr="00FD620D">
        <w:rPr>
          <w:rFonts w:ascii="Tahoma" w:hAnsi="Tahoma" w:cs="Tahoma"/>
          <w:b/>
          <w:sz w:val="20"/>
        </w:rPr>
        <w:t>available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directly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indirectly</w:t>
      </w:r>
      <w:proofErr w:type="spellEnd"/>
      <w:r w:rsidRPr="00FD620D">
        <w:rPr>
          <w:rFonts w:ascii="Tahoma" w:hAnsi="Tahoma" w:cs="Tahoma"/>
          <w:b/>
          <w:sz w:val="20"/>
        </w:rPr>
        <w:t xml:space="preserve">, to natural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legal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persons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entities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bodies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listed</w:t>
      </w:r>
      <w:proofErr w:type="spellEnd"/>
      <w:r w:rsidRPr="00FD620D">
        <w:rPr>
          <w:rFonts w:ascii="Tahoma" w:hAnsi="Tahoma" w:cs="Tahoma"/>
          <w:b/>
          <w:sz w:val="20"/>
        </w:rPr>
        <w:t xml:space="preserve"> in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lists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sanctioned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persons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pursuant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relevant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legal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regulations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for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their</w:t>
      </w:r>
      <w:proofErr w:type="spellEnd"/>
      <w:r w:rsidRPr="00FD620D">
        <w:rPr>
          <w:rFonts w:ascii="Tahoma" w:hAnsi="Tahoma" w:cs="Tahoma"/>
          <w:b/>
          <w:sz w:val="20"/>
        </w:rPr>
        <w:t xml:space="preserve"> benefit; in </w:t>
      </w:r>
      <w:proofErr w:type="spellStart"/>
      <w:r w:rsidRPr="00FD620D">
        <w:rPr>
          <w:rFonts w:ascii="Tahoma" w:hAnsi="Tahoma" w:cs="Tahoma"/>
          <w:b/>
          <w:sz w:val="20"/>
        </w:rPr>
        <w:t>connection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with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above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declare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neither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nor any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our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subcontractors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suppliers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other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persons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within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meaning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Section</w:t>
      </w:r>
      <w:proofErr w:type="spellEnd"/>
      <w:r w:rsidRPr="00FD620D">
        <w:rPr>
          <w:rFonts w:ascii="Tahoma" w:hAnsi="Tahoma" w:cs="Tahoma"/>
          <w:b/>
          <w:sz w:val="20"/>
        </w:rPr>
        <w:t xml:space="preserve"> 83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Pr="00FD620D">
        <w:rPr>
          <w:rFonts w:ascii="Tahoma" w:hAnsi="Tahoma" w:cs="Tahoma"/>
          <w:b/>
          <w:sz w:val="20"/>
        </w:rPr>
        <w:t xml:space="preserve"> No. 134/2016 </w:t>
      </w:r>
      <w:proofErr w:type="spellStart"/>
      <w:r w:rsidRPr="00FD620D">
        <w:rPr>
          <w:rFonts w:ascii="Tahoma" w:hAnsi="Tahoma" w:cs="Tahoma"/>
          <w:b/>
          <w:sz w:val="20"/>
        </w:rPr>
        <w:t>Coll</w:t>
      </w:r>
      <w:proofErr w:type="spellEnd"/>
      <w:r w:rsidRPr="00FD620D">
        <w:rPr>
          <w:rFonts w:ascii="Tahoma" w:hAnsi="Tahoma" w:cs="Tahoma"/>
          <w:b/>
          <w:sz w:val="20"/>
        </w:rPr>
        <w:t xml:space="preserve">., on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award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public </w:t>
      </w:r>
      <w:proofErr w:type="spellStart"/>
      <w:r w:rsidRPr="00FD620D">
        <w:rPr>
          <w:rFonts w:ascii="Tahoma" w:hAnsi="Tahoma" w:cs="Tahoma"/>
          <w:b/>
          <w:sz w:val="20"/>
        </w:rPr>
        <w:t>contracts</w:t>
      </w:r>
      <w:proofErr w:type="spellEnd"/>
      <w:r w:rsidRPr="00FD620D">
        <w:rPr>
          <w:rFonts w:ascii="Tahoma" w:hAnsi="Tahoma" w:cs="Tahoma"/>
          <w:b/>
          <w:sz w:val="20"/>
        </w:rPr>
        <w:t xml:space="preserve">, as </w:t>
      </w:r>
      <w:proofErr w:type="spellStart"/>
      <w:r w:rsidRPr="00FD620D">
        <w:rPr>
          <w:rFonts w:ascii="Tahoma" w:hAnsi="Tahoma" w:cs="Tahoma"/>
          <w:b/>
          <w:sz w:val="20"/>
        </w:rPr>
        <w:t>amended</w:t>
      </w:r>
      <w:proofErr w:type="spellEnd"/>
      <w:r w:rsidRPr="00FD620D">
        <w:rPr>
          <w:rFonts w:ascii="Tahoma" w:hAnsi="Tahoma" w:cs="Tahoma"/>
          <w:b/>
          <w:sz w:val="20"/>
        </w:rPr>
        <w:t xml:space="preserve"> (</w:t>
      </w:r>
      <w:proofErr w:type="spellStart"/>
      <w:r w:rsidRPr="00FD620D">
        <w:rPr>
          <w:rFonts w:ascii="Tahoma" w:hAnsi="Tahoma" w:cs="Tahoma"/>
          <w:b/>
          <w:sz w:val="20"/>
        </w:rPr>
        <w:t>hereinafter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referred</w:t>
      </w:r>
      <w:proofErr w:type="spellEnd"/>
      <w:r w:rsidRPr="00FD620D">
        <w:rPr>
          <w:rFonts w:ascii="Tahoma" w:hAnsi="Tahoma" w:cs="Tahoma"/>
          <w:b/>
          <w:sz w:val="20"/>
        </w:rPr>
        <w:t xml:space="preserve"> to as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"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Pr="00FD620D">
        <w:rPr>
          <w:rFonts w:ascii="Tahoma" w:hAnsi="Tahoma" w:cs="Tahoma"/>
          <w:b/>
          <w:sz w:val="20"/>
        </w:rPr>
        <w:t xml:space="preserve">") are </w:t>
      </w:r>
      <w:proofErr w:type="spellStart"/>
      <w:r w:rsidRPr="00FD620D">
        <w:rPr>
          <w:rFonts w:ascii="Tahoma" w:hAnsi="Tahoma" w:cs="Tahoma"/>
          <w:b/>
          <w:sz w:val="20"/>
        </w:rPr>
        <w:t>subject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prohibition</w:t>
      </w:r>
      <w:proofErr w:type="spellEnd"/>
      <w:r w:rsidRPr="00FD620D">
        <w:rPr>
          <w:rFonts w:ascii="Tahoma" w:hAnsi="Tahoma" w:cs="Tahoma"/>
          <w:b/>
          <w:sz w:val="20"/>
        </w:rPr>
        <w:t xml:space="preserve"> on </w:t>
      </w:r>
      <w:proofErr w:type="spellStart"/>
      <w:r w:rsidRPr="00FD620D">
        <w:rPr>
          <w:rFonts w:ascii="Tahoma" w:hAnsi="Tahoma" w:cs="Tahoma"/>
          <w:b/>
          <w:sz w:val="20"/>
        </w:rPr>
        <w:t>awarding</w:t>
      </w:r>
      <w:proofErr w:type="spellEnd"/>
      <w:r w:rsidRPr="00FD620D">
        <w:rPr>
          <w:rFonts w:ascii="Tahoma" w:hAnsi="Tahoma" w:cs="Tahoma"/>
          <w:b/>
          <w:sz w:val="20"/>
        </w:rPr>
        <w:t xml:space="preserve"> a public </w:t>
      </w:r>
      <w:proofErr w:type="spellStart"/>
      <w:r w:rsidRPr="00FD620D">
        <w:rPr>
          <w:rFonts w:ascii="Tahoma" w:hAnsi="Tahoma" w:cs="Tahoma"/>
          <w:b/>
          <w:sz w:val="20"/>
        </w:rPr>
        <w:t>contract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pursuant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Section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gramStart"/>
      <w:r w:rsidRPr="00FD620D">
        <w:rPr>
          <w:rFonts w:ascii="Tahoma" w:hAnsi="Tahoma" w:cs="Tahoma"/>
          <w:b/>
          <w:sz w:val="20"/>
        </w:rPr>
        <w:t>48a</w:t>
      </w:r>
      <w:proofErr w:type="gram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="00B20276" w:rsidRPr="00724964">
        <w:rPr>
          <w:rFonts w:ascii="Tahoma" w:hAnsi="Tahoma" w:cs="Tahoma"/>
          <w:b/>
          <w:sz w:val="20"/>
          <w:szCs w:val="24"/>
        </w:rPr>
        <w:t>.</w:t>
      </w:r>
    </w:p>
    <w:p w14:paraId="5E56F2D4" w14:textId="77777777" w:rsidR="00327E3C" w:rsidRPr="00724964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724964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724964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724964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724964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724964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724964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724964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724964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724964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 w:rsidRPr="00724964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 w:rsidRPr="00724964">
              <w:rPr>
                <w:rFonts w:ascii="Tahoma" w:hAnsi="Tahoma" w:cs="Tahoma"/>
                <w:sz w:val="20"/>
                <w:szCs w:val="22"/>
              </w:rPr>
              <w:t>é</w:t>
            </w:r>
            <w:r w:rsidR="00A430DA" w:rsidRPr="00724964">
              <w:rPr>
                <w:rFonts w:ascii="Tahoma" w:hAnsi="Tahoma" w:cs="Tahoma"/>
                <w:sz w:val="20"/>
                <w:szCs w:val="22"/>
              </w:rPr>
              <w:t>ho</w:t>
            </w:r>
            <w:r w:rsidRPr="00724964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724964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724964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724964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724964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724964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8364D7" w:rsidRDefault="006E0D6E">
      <w:pPr>
        <w:rPr>
          <w:rFonts w:ascii="Tahoma" w:hAnsi="Tahoma" w:cs="Tahoma"/>
          <w:sz w:val="18"/>
          <w:szCs w:val="20"/>
        </w:rPr>
      </w:pPr>
    </w:p>
    <w:sectPr w:rsidR="006E0D6E" w:rsidRPr="008364D7" w:rsidSect="008364D7">
      <w:headerReference w:type="default" r:id="rId10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B920" w14:textId="77777777" w:rsidR="00181BED" w:rsidRDefault="00181BED" w:rsidP="00D35970">
      <w:r>
        <w:separator/>
      </w:r>
    </w:p>
  </w:endnote>
  <w:endnote w:type="continuationSeparator" w:id="0">
    <w:p w14:paraId="344AE26C" w14:textId="77777777" w:rsidR="00181BED" w:rsidRDefault="00181BE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30F4" w14:textId="77777777" w:rsidR="00181BED" w:rsidRDefault="00181BED" w:rsidP="00D35970">
      <w:r>
        <w:separator/>
      </w:r>
    </w:p>
  </w:footnote>
  <w:footnote w:type="continuationSeparator" w:id="0">
    <w:p w14:paraId="292844AA" w14:textId="77777777" w:rsidR="00181BED" w:rsidRDefault="00181BE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3977" w14:textId="23A7F5F1" w:rsidR="0003027C" w:rsidRDefault="0003027C" w:rsidP="0003027C">
    <w:pPr>
      <w:jc w:val="center"/>
      <w:rPr>
        <w:rFonts w:ascii="Tahoma" w:hAnsi="Tahoma" w:cs="Tahoma"/>
        <w:sz w:val="20"/>
      </w:rPr>
    </w:pPr>
  </w:p>
  <w:p w14:paraId="7D5C92B3" w14:textId="32C7417B" w:rsidR="00CE399B" w:rsidRPr="00392F5C" w:rsidRDefault="00095C39" w:rsidP="00CE399B">
    <w:pPr>
      <w:rPr>
        <w:rFonts w:ascii="Tahoma" w:hAnsi="Tahoma" w:cs="Tahoma"/>
        <w:sz w:val="20"/>
      </w:rPr>
    </w:pPr>
    <w:proofErr w:type="spellStart"/>
    <w:r>
      <w:rPr>
        <w:rFonts w:ascii="Tahoma" w:hAnsi="Tahoma" w:cs="Tahoma"/>
        <w:sz w:val="20"/>
      </w:rPr>
      <w:t>Annex</w:t>
    </w:r>
    <w:proofErr w:type="spellEnd"/>
    <w:r>
      <w:rPr>
        <w:rFonts w:ascii="Tahoma" w:hAnsi="Tahoma" w:cs="Tahoma"/>
        <w:sz w:val="20"/>
      </w:rPr>
      <w:t xml:space="preserve"> No.</w:t>
    </w:r>
    <w:r w:rsidR="00CE399B" w:rsidRPr="00392F5C">
      <w:rPr>
        <w:rFonts w:ascii="Tahoma" w:hAnsi="Tahoma" w:cs="Tahoma"/>
        <w:sz w:val="20"/>
      </w:rPr>
      <w:t xml:space="preserve"> </w:t>
    </w:r>
    <w:r w:rsidR="006125A0">
      <w:rPr>
        <w:rFonts w:ascii="Tahoma" w:hAnsi="Tahoma" w:cs="Tahoma"/>
        <w:sz w:val="20"/>
      </w:rPr>
      <w:t>6</w:t>
    </w:r>
    <w:r w:rsidR="00CE399B" w:rsidRPr="00392F5C">
      <w:rPr>
        <w:rFonts w:ascii="Tahoma" w:hAnsi="Tahoma" w:cs="Tahoma"/>
        <w:sz w:val="20"/>
      </w:rPr>
      <w:t xml:space="preserve"> – </w:t>
    </w:r>
    <w:proofErr w:type="spellStart"/>
    <w:r w:rsidR="006125A0">
      <w:rPr>
        <w:rFonts w:ascii="Tahoma" w:hAnsi="Tahoma" w:cs="Tahoma"/>
        <w:sz w:val="20"/>
      </w:rPr>
      <w:t>Statutory</w:t>
    </w:r>
    <w:proofErr w:type="spellEnd"/>
    <w:r w:rsidR="006125A0">
      <w:rPr>
        <w:rFonts w:ascii="Tahoma" w:hAnsi="Tahoma" w:cs="Tahoma"/>
        <w:sz w:val="20"/>
      </w:rPr>
      <w:t xml:space="preserve"> </w:t>
    </w:r>
    <w:proofErr w:type="spellStart"/>
    <w:r w:rsidR="006125A0">
      <w:rPr>
        <w:rFonts w:ascii="Tahoma" w:hAnsi="Tahoma" w:cs="Tahoma"/>
        <w:sz w:val="20"/>
      </w:rPr>
      <w:t>declaration</w:t>
    </w:r>
    <w:proofErr w:type="spellEnd"/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3027C"/>
    <w:rsid w:val="00095C39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81BED"/>
    <w:rsid w:val="001A1222"/>
    <w:rsid w:val="001A4E70"/>
    <w:rsid w:val="001A7C57"/>
    <w:rsid w:val="001D4EE7"/>
    <w:rsid w:val="001F3DCB"/>
    <w:rsid w:val="001F4991"/>
    <w:rsid w:val="00247C4D"/>
    <w:rsid w:val="002557ED"/>
    <w:rsid w:val="002927A2"/>
    <w:rsid w:val="00293A1B"/>
    <w:rsid w:val="00327E3C"/>
    <w:rsid w:val="00345765"/>
    <w:rsid w:val="00357E80"/>
    <w:rsid w:val="00360B4B"/>
    <w:rsid w:val="0036315F"/>
    <w:rsid w:val="0038442D"/>
    <w:rsid w:val="003B0A7B"/>
    <w:rsid w:val="00426675"/>
    <w:rsid w:val="00441A8D"/>
    <w:rsid w:val="00453704"/>
    <w:rsid w:val="004C7353"/>
    <w:rsid w:val="00520EDB"/>
    <w:rsid w:val="00570492"/>
    <w:rsid w:val="005853CB"/>
    <w:rsid w:val="005865D7"/>
    <w:rsid w:val="0059663A"/>
    <w:rsid w:val="005A7392"/>
    <w:rsid w:val="005C1471"/>
    <w:rsid w:val="005C3FC8"/>
    <w:rsid w:val="005C6334"/>
    <w:rsid w:val="005E7854"/>
    <w:rsid w:val="006125A0"/>
    <w:rsid w:val="00612A5A"/>
    <w:rsid w:val="00627B61"/>
    <w:rsid w:val="0065173A"/>
    <w:rsid w:val="006B5308"/>
    <w:rsid w:val="006D1A1F"/>
    <w:rsid w:val="006D66F0"/>
    <w:rsid w:val="006E0D6E"/>
    <w:rsid w:val="006E2379"/>
    <w:rsid w:val="007221B0"/>
    <w:rsid w:val="00724964"/>
    <w:rsid w:val="00754516"/>
    <w:rsid w:val="00792636"/>
    <w:rsid w:val="007A105A"/>
    <w:rsid w:val="007A3F0B"/>
    <w:rsid w:val="007A5BEB"/>
    <w:rsid w:val="007E0A2B"/>
    <w:rsid w:val="007E0B36"/>
    <w:rsid w:val="0082085E"/>
    <w:rsid w:val="0082669C"/>
    <w:rsid w:val="008364D7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6649"/>
    <w:rsid w:val="00A119D4"/>
    <w:rsid w:val="00A430DA"/>
    <w:rsid w:val="00A5516B"/>
    <w:rsid w:val="00A64F65"/>
    <w:rsid w:val="00A72844"/>
    <w:rsid w:val="00AF556A"/>
    <w:rsid w:val="00AF5D01"/>
    <w:rsid w:val="00B0477A"/>
    <w:rsid w:val="00B20276"/>
    <w:rsid w:val="00B2170F"/>
    <w:rsid w:val="00B22918"/>
    <w:rsid w:val="00B368C3"/>
    <w:rsid w:val="00BD4F09"/>
    <w:rsid w:val="00BE1648"/>
    <w:rsid w:val="00BF7377"/>
    <w:rsid w:val="00C043BD"/>
    <w:rsid w:val="00C56C30"/>
    <w:rsid w:val="00C73DDE"/>
    <w:rsid w:val="00C73F9E"/>
    <w:rsid w:val="00CC2C12"/>
    <w:rsid w:val="00CE399B"/>
    <w:rsid w:val="00D210D8"/>
    <w:rsid w:val="00D31C41"/>
    <w:rsid w:val="00D35970"/>
    <w:rsid w:val="00D5214E"/>
    <w:rsid w:val="00D61B8B"/>
    <w:rsid w:val="00E3063C"/>
    <w:rsid w:val="00E97DBD"/>
    <w:rsid w:val="00EC3B5F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character" w:customStyle="1" w:styleId="ts-alignment-element">
    <w:name w:val="ts-alignment-element"/>
    <w:basedOn w:val="Standardnpsmoodstavce"/>
    <w:rsid w:val="00095C39"/>
  </w:style>
  <w:style w:type="character" w:customStyle="1" w:styleId="ts-alignment-element-highlighted">
    <w:name w:val="ts-alignment-element-highlighted"/>
    <w:basedOn w:val="Standardnpsmoodstavce"/>
    <w:rsid w:val="0009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5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9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14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9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3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82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4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0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65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29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82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37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7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8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1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0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33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36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8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47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0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8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6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80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37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2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0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5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49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87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2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2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4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9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45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47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62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7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6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2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6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25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2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57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18</cp:revision>
  <dcterms:created xsi:type="dcterms:W3CDTF">2021-07-19T16:02:00Z</dcterms:created>
  <dcterms:modified xsi:type="dcterms:W3CDTF">2026-03-03T13:38:00Z</dcterms:modified>
</cp:coreProperties>
</file>