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9556" w14:textId="77777777" w:rsidR="006C5172" w:rsidRPr="0055327D" w:rsidRDefault="006C5172" w:rsidP="00875C66">
      <w:pPr>
        <w:spacing w:line="276" w:lineRule="auto"/>
        <w:rPr>
          <w:sz w:val="22"/>
          <w:szCs w:val="22"/>
        </w:rPr>
      </w:pPr>
    </w:p>
    <w:p w14:paraId="6E62E8B8" w14:textId="77777777"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86CAEF" w14:textId="77777777"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452428D6" w14:textId="77777777" w:rsidR="006C5172" w:rsidRPr="00D1311B" w:rsidRDefault="006C5172" w:rsidP="00DD1ACF">
      <w:pPr>
        <w:spacing w:line="276" w:lineRule="auto"/>
        <w:jc w:val="center"/>
        <w:rPr>
          <w:b/>
          <w:sz w:val="28"/>
          <w:szCs w:val="28"/>
        </w:rPr>
      </w:pPr>
      <w:r w:rsidRPr="00D1311B">
        <w:rPr>
          <w:b/>
          <w:sz w:val="28"/>
          <w:szCs w:val="28"/>
        </w:rPr>
        <w:t>KUPNÍ SMLOUVA</w:t>
      </w:r>
    </w:p>
    <w:p w14:paraId="173F76CE" w14:textId="77777777"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14:paraId="78BD873D" w14:textId="0F00ED5B"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w:t>
      </w:r>
      <w:r w:rsidR="00BA016C">
        <w:rPr>
          <w:b/>
          <w:spacing w:val="-1"/>
          <w:sz w:val="28"/>
          <w:szCs w:val="28"/>
        </w:rPr>
        <w:t>2</w:t>
      </w:r>
      <w:r w:rsidR="005D40AF">
        <w:rPr>
          <w:b/>
          <w:spacing w:val="-1"/>
          <w:sz w:val="28"/>
          <w:szCs w:val="28"/>
        </w:rPr>
        <w:t>5</w:t>
      </w:r>
      <w:r w:rsidRPr="00DD1ACF">
        <w:rPr>
          <w:b/>
          <w:spacing w:val="-1"/>
          <w:sz w:val="28"/>
          <w:szCs w:val="28"/>
        </w:rPr>
        <w:t>/201</w:t>
      </w:r>
      <w:r w:rsidR="000B26B9">
        <w:rPr>
          <w:b/>
          <w:spacing w:val="-1"/>
          <w:sz w:val="28"/>
          <w:szCs w:val="28"/>
        </w:rPr>
        <w:t>9</w:t>
      </w:r>
    </w:p>
    <w:p w14:paraId="19FA172A" w14:textId="77777777"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14:paraId="2A575E3B" w14:textId="77777777"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14:paraId="74C6CB35" w14:textId="77777777"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14:paraId="096E9EED" w14:textId="77777777"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14:paraId="73D3A883" w14:textId="77777777" w:rsidR="006C5172" w:rsidRPr="0055327D" w:rsidRDefault="006C5172" w:rsidP="000338A0">
      <w:pPr>
        <w:pStyle w:val="Zkladntext"/>
        <w:spacing w:line="276" w:lineRule="auto"/>
        <w:jc w:val="center"/>
        <w:rPr>
          <w:b/>
          <w:sz w:val="22"/>
          <w:szCs w:val="22"/>
        </w:rPr>
      </w:pPr>
    </w:p>
    <w:p w14:paraId="19F48F32" w14:textId="77777777"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14:paraId="56263054" w14:textId="77777777"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14:paraId="1218E514" w14:textId="77777777" w:rsidR="005A76CA" w:rsidRDefault="005A76CA" w:rsidP="005A76CA">
      <w:pPr>
        <w:spacing w:before="120" w:line="276" w:lineRule="auto"/>
        <w:ind w:firstLine="360"/>
        <w:jc w:val="both"/>
        <w:rPr>
          <w:b/>
          <w:bCs/>
          <w:sz w:val="22"/>
          <w:szCs w:val="22"/>
        </w:rPr>
      </w:pPr>
      <w:r>
        <w:rPr>
          <w:b/>
          <w:bCs/>
          <w:sz w:val="22"/>
          <w:szCs w:val="22"/>
        </w:rPr>
        <w:t>Kupující:</w:t>
      </w:r>
    </w:p>
    <w:p w14:paraId="6018EC95" w14:textId="77777777"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14:paraId="3738F270" w14:textId="77777777"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14:paraId="1EB97227"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14:paraId="4B5D163D"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14:paraId="4D2AF45B"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14:paraId="03ED2ADE"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14:paraId="3C923807"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14:paraId="507C32EB" w14:textId="77777777"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14:paraId="47BA3B0F" w14:textId="0F07A3E7"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r>
      <w:r w:rsidR="005D40AF">
        <w:rPr>
          <w:sz w:val="22"/>
          <w:szCs w:val="22"/>
        </w:rPr>
        <w:t>Karin Krumlová,</w:t>
      </w:r>
      <w:r w:rsidR="00D10905">
        <w:rPr>
          <w:sz w:val="22"/>
          <w:szCs w:val="22"/>
        </w:rPr>
        <w:t xml:space="preserve"> </w:t>
      </w:r>
      <w:r>
        <w:rPr>
          <w:sz w:val="22"/>
          <w:szCs w:val="22"/>
        </w:rPr>
        <w:t xml:space="preserve">tel.:   </w:t>
      </w:r>
      <w:r w:rsidRPr="0045199C">
        <w:rPr>
          <w:sz w:val="22"/>
          <w:szCs w:val="22"/>
        </w:rPr>
        <w:t xml:space="preserve">+ 420 </w:t>
      </w:r>
      <w:r w:rsidR="006936A4">
        <w:rPr>
          <w:sz w:val="22"/>
          <w:szCs w:val="22"/>
        </w:rPr>
        <w:t>597 32</w:t>
      </w:r>
      <w:r w:rsidR="005D40AF">
        <w:rPr>
          <w:sz w:val="22"/>
          <w:szCs w:val="22"/>
        </w:rPr>
        <w:t>3</w:t>
      </w:r>
      <w:r w:rsidR="006936A4">
        <w:rPr>
          <w:sz w:val="22"/>
          <w:szCs w:val="22"/>
        </w:rPr>
        <w:t> </w:t>
      </w:r>
      <w:r w:rsidR="005D40AF">
        <w:rPr>
          <w:sz w:val="22"/>
          <w:szCs w:val="22"/>
        </w:rPr>
        <w:t>711</w:t>
      </w:r>
    </w:p>
    <w:p w14:paraId="5F8403F6" w14:textId="236EDA6B" w:rsidR="006936A4"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00177D37" w:rsidRPr="00397C63">
          <w:rPr>
            <w:rStyle w:val="Hypertextovodkaz"/>
            <w:sz w:val="22"/>
            <w:szCs w:val="22"/>
          </w:rPr>
          <w:t>karina.krumlova@vsb.cz</w:t>
        </w:r>
      </w:hyperlink>
      <w:r w:rsidR="006936A4">
        <w:rPr>
          <w:sz w:val="22"/>
          <w:szCs w:val="22"/>
        </w:rPr>
        <w:t xml:space="preserve"> </w:t>
      </w:r>
    </w:p>
    <w:p w14:paraId="0381147F" w14:textId="703B034F" w:rsidR="000B26B9" w:rsidRDefault="000B26B9" w:rsidP="00C67BDA">
      <w:pPr>
        <w:numPr>
          <w:ilvl w:val="12"/>
          <w:numId w:val="0"/>
        </w:numPr>
        <w:spacing w:after="60"/>
        <w:ind w:left="2836"/>
        <w:rPr>
          <w:sz w:val="22"/>
          <w:szCs w:val="22"/>
        </w:rPr>
      </w:pPr>
    </w:p>
    <w:p w14:paraId="09FBF341" w14:textId="77777777"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14:paraId="21AFB10C" w14:textId="77777777"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14:paraId="6C27E82E" w14:textId="77777777"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14:paraId="52033036" w14:textId="77777777" w:rsidR="006C5172" w:rsidRPr="0055327D" w:rsidRDefault="006C5172" w:rsidP="000338A0">
      <w:pPr>
        <w:pStyle w:val="Zpat"/>
        <w:tabs>
          <w:tab w:val="clear" w:pos="4536"/>
          <w:tab w:val="clear" w:pos="9072"/>
          <w:tab w:val="left" w:pos="2835"/>
        </w:tabs>
        <w:spacing w:line="276" w:lineRule="auto"/>
        <w:ind w:firstLine="360"/>
        <w:rPr>
          <w:sz w:val="22"/>
          <w:szCs w:val="22"/>
        </w:rPr>
      </w:pPr>
    </w:p>
    <w:p w14:paraId="5F5D5910" w14:textId="77777777" w:rsidR="006C5172" w:rsidRDefault="006C5172" w:rsidP="005A76CA">
      <w:pPr>
        <w:ind w:firstLine="357"/>
        <w:jc w:val="both"/>
        <w:rPr>
          <w:b/>
          <w:bCs/>
        </w:rPr>
      </w:pPr>
      <w:r w:rsidRPr="005A76CA">
        <w:rPr>
          <w:b/>
          <w:bCs/>
        </w:rPr>
        <w:t>Prodávající:</w:t>
      </w:r>
    </w:p>
    <w:p w14:paraId="1B2EA5AA" w14:textId="77777777" w:rsidR="000076C1" w:rsidRPr="005A76CA" w:rsidRDefault="000076C1" w:rsidP="005A76CA">
      <w:pPr>
        <w:ind w:firstLine="357"/>
        <w:jc w:val="both"/>
        <w:rPr>
          <w:b/>
          <w:bCs/>
        </w:rPr>
      </w:pPr>
    </w:p>
    <w:p w14:paraId="67961EFB" w14:textId="77777777"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14:paraId="052F742E"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14:paraId="0888B8E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14:paraId="0029D4CE"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5FD58B5F" w14:textId="77777777"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1E509F9F" w14:textId="77777777"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14:paraId="16084C0A"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14:paraId="5759D4BA"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14:paraId="2C42CD25"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14:paraId="19C4DBA9" w14:textId="77777777"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14:paraId="302BA65B" w14:textId="77777777"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14:paraId="1599C13C" w14:textId="77777777"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14:paraId="4696DBE9" w14:textId="77777777"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14:paraId="247F4D91" w14:textId="77777777"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14:paraId="42CF77F0" w14:textId="77777777" w:rsidR="000B26B9" w:rsidRDefault="000B26B9" w:rsidP="00BA3E15">
      <w:pPr>
        <w:pStyle w:val="Smlouva2"/>
        <w:spacing w:before="360" w:line="276" w:lineRule="auto"/>
        <w:jc w:val="left"/>
        <w:rPr>
          <w:sz w:val="22"/>
          <w:szCs w:val="22"/>
        </w:rPr>
      </w:pPr>
    </w:p>
    <w:p w14:paraId="2C38F7DF" w14:textId="77777777" w:rsidR="006C5172" w:rsidRPr="0055327D" w:rsidRDefault="006C5172" w:rsidP="000338A0">
      <w:pPr>
        <w:pStyle w:val="Smlouva2"/>
        <w:spacing w:before="360" w:line="276" w:lineRule="auto"/>
        <w:rPr>
          <w:sz w:val="22"/>
          <w:szCs w:val="22"/>
        </w:rPr>
      </w:pPr>
      <w:r w:rsidRPr="0055327D">
        <w:rPr>
          <w:sz w:val="22"/>
          <w:szCs w:val="22"/>
        </w:rPr>
        <w:t>II.</w:t>
      </w:r>
    </w:p>
    <w:p w14:paraId="2089FD01" w14:textId="77777777" w:rsidR="006C5172" w:rsidRPr="0055327D" w:rsidRDefault="006C5172" w:rsidP="000338A0">
      <w:pPr>
        <w:pStyle w:val="Smlouva2"/>
        <w:spacing w:after="120" w:line="276" w:lineRule="auto"/>
        <w:rPr>
          <w:sz w:val="22"/>
          <w:szCs w:val="22"/>
        </w:rPr>
      </w:pPr>
      <w:r w:rsidRPr="0055327D">
        <w:rPr>
          <w:sz w:val="22"/>
          <w:szCs w:val="22"/>
        </w:rPr>
        <w:t>Základní ustanovení</w:t>
      </w:r>
    </w:p>
    <w:p w14:paraId="68BBE4C8" w14:textId="77777777"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14:paraId="0B44A932" w14:textId="77777777"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14:paraId="641BA327" w14:textId="77777777"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14:paraId="134EEDA8" w14:textId="77777777"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14:paraId="55FFFB61" w14:textId="77777777"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14:paraId="585B9EAA" w14:textId="77777777" w:rsidR="004A61AA" w:rsidRDefault="004A61AA" w:rsidP="000338A0">
      <w:pPr>
        <w:pStyle w:val="Smlouva2"/>
        <w:widowControl/>
        <w:tabs>
          <w:tab w:val="left" w:pos="1980"/>
          <w:tab w:val="left" w:pos="7380"/>
        </w:tabs>
        <w:spacing w:before="360" w:line="276" w:lineRule="auto"/>
        <w:rPr>
          <w:sz w:val="22"/>
          <w:szCs w:val="22"/>
        </w:rPr>
      </w:pPr>
    </w:p>
    <w:p w14:paraId="4DE2C536" w14:textId="77777777"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14:paraId="0FB48036" w14:textId="77777777"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14:paraId="1AA7580F" w14:textId="77777777"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14:paraId="20E9F305" w14:textId="77777777" w:rsidR="008A02FA" w:rsidRDefault="008A02FA" w:rsidP="008A02FA">
      <w:pPr>
        <w:pStyle w:val="Zkladntext"/>
        <w:tabs>
          <w:tab w:val="clear" w:pos="540"/>
          <w:tab w:val="clear" w:pos="3960"/>
          <w:tab w:val="left" w:pos="3780"/>
        </w:tabs>
        <w:spacing w:line="276" w:lineRule="auto"/>
        <w:rPr>
          <w:sz w:val="22"/>
          <w:szCs w:val="22"/>
        </w:rPr>
      </w:pPr>
    </w:p>
    <w:p w14:paraId="4A1CC9CD" w14:textId="77777777"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14:paraId="4D76A626" w14:textId="77777777"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14:paraId="5BD0D020" w14:textId="77777777"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14:paraId="74CD5109" w14:textId="77777777"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14:paraId="03AAB850" w14:textId="77777777"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14:paraId="476D9A39" w14:textId="77777777"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14:paraId="52C24948" w14:textId="77777777" w:rsidR="00A31B95" w:rsidRDefault="00A31B95" w:rsidP="00410F3F">
      <w:pPr>
        <w:tabs>
          <w:tab w:val="left" w:pos="7380"/>
        </w:tabs>
        <w:spacing w:after="120" w:line="276" w:lineRule="auto"/>
        <w:ind w:left="567"/>
        <w:jc w:val="both"/>
        <w:rPr>
          <w:b/>
          <w:sz w:val="22"/>
          <w:szCs w:val="22"/>
        </w:rPr>
      </w:pPr>
    </w:p>
    <w:p w14:paraId="0282416D" w14:textId="77777777"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14:paraId="5A14A626" w14:textId="77777777" w:rsidR="006C5172" w:rsidRPr="0055327D" w:rsidRDefault="006C5172" w:rsidP="006C73CA">
      <w:pPr>
        <w:tabs>
          <w:tab w:val="left" w:pos="540"/>
          <w:tab w:val="left" w:pos="1980"/>
          <w:tab w:val="left" w:pos="7380"/>
        </w:tabs>
        <w:spacing w:after="120" w:line="276" w:lineRule="auto"/>
        <w:jc w:val="both"/>
        <w:rPr>
          <w:sz w:val="22"/>
          <w:szCs w:val="22"/>
        </w:rPr>
      </w:pPr>
    </w:p>
    <w:p w14:paraId="6536D872" w14:textId="77777777"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14:paraId="041A79B0" w14:textId="77777777" w:rsidR="006C73CA" w:rsidRDefault="006C73CA" w:rsidP="006C73CA">
      <w:pPr>
        <w:tabs>
          <w:tab w:val="left" w:pos="540"/>
          <w:tab w:val="left" w:pos="1980"/>
          <w:tab w:val="left" w:pos="7380"/>
        </w:tabs>
        <w:spacing w:after="120" w:line="276" w:lineRule="auto"/>
        <w:jc w:val="both"/>
        <w:rPr>
          <w:sz w:val="22"/>
          <w:szCs w:val="22"/>
        </w:rPr>
      </w:pPr>
    </w:p>
    <w:p w14:paraId="06BB1A7A" w14:textId="77777777" w:rsidR="006C73CA" w:rsidRDefault="006C73CA" w:rsidP="006C73CA">
      <w:pPr>
        <w:tabs>
          <w:tab w:val="left" w:pos="540"/>
          <w:tab w:val="left" w:pos="1980"/>
          <w:tab w:val="left" w:pos="7380"/>
        </w:tabs>
        <w:spacing w:after="120" w:line="276" w:lineRule="auto"/>
        <w:jc w:val="both"/>
        <w:rPr>
          <w:sz w:val="22"/>
          <w:szCs w:val="22"/>
        </w:rPr>
      </w:pPr>
    </w:p>
    <w:p w14:paraId="52F35D03" w14:textId="77777777" w:rsidR="006C73CA" w:rsidRDefault="006C73CA" w:rsidP="006C73CA">
      <w:pPr>
        <w:tabs>
          <w:tab w:val="left" w:pos="540"/>
          <w:tab w:val="left" w:pos="1980"/>
          <w:tab w:val="left" w:pos="7380"/>
        </w:tabs>
        <w:spacing w:after="120" w:line="276" w:lineRule="auto"/>
        <w:jc w:val="both"/>
        <w:rPr>
          <w:sz w:val="22"/>
          <w:szCs w:val="22"/>
        </w:rPr>
      </w:pPr>
    </w:p>
    <w:p w14:paraId="5D4419C0" w14:textId="77777777" w:rsidR="006C73CA" w:rsidRDefault="006C73CA" w:rsidP="006C73CA">
      <w:pPr>
        <w:tabs>
          <w:tab w:val="left" w:pos="540"/>
          <w:tab w:val="left" w:pos="1980"/>
          <w:tab w:val="left" w:pos="7380"/>
        </w:tabs>
        <w:spacing w:after="120" w:line="276" w:lineRule="auto"/>
        <w:jc w:val="both"/>
        <w:rPr>
          <w:sz w:val="22"/>
          <w:szCs w:val="22"/>
        </w:rPr>
      </w:pPr>
    </w:p>
    <w:p w14:paraId="189CB68A" w14:textId="77777777" w:rsidR="006C5172" w:rsidRPr="0055327D" w:rsidRDefault="006C5172" w:rsidP="00D1311B">
      <w:pPr>
        <w:numPr>
          <w:ilvl w:val="0"/>
          <w:numId w:val="26"/>
        </w:numPr>
        <w:tabs>
          <w:tab w:val="left" w:pos="540"/>
          <w:tab w:val="left" w:pos="1980"/>
          <w:tab w:val="left" w:pos="7380"/>
        </w:tabs>
        <w:spacing w:after="12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sidR="001D21FA">
        <w:rPr>
          <w:sz w:val="22"/>
          <w:szCs w:val="22"/>
        </w:rPr>
        <w:t xml:space="preserve"> </w:t>
      </w:r>
      <w:r w:rsidR="001D21FA" w:rsidRPr="001D21FA">
        <w:rPr>
          <w:sz w:val="22"/>
          <w:szCs w:val="22"/>
          <w:u w:val="single"/>
        </w:rPr>
        <w:t>do místa plnění</w:t>
      </w:r>
      <w:r>
        <w:rPr>
          <w:sz w:val="22"/>
          <w:szCs w:val="22"/>
        </w:rPr>
        <w:t>.</w:t>
      </w:r>
      <w:r w:rsidRPr="0055327D">
        <w:rPr>
          <w:sz w:val="22"/>
          <w:szCs w:val="22"/>
        </w:rPr>
        <w:t xml:space="preserve"> </w:t>
      </w:r>
    </w:p>
    <w:p w14:paraId="4F13932A" w14:textId="77777777"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14:paraId="3D01939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14:paraId="0087DFD3" w14:textId="77777777"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14:paraId="77A25E91" w14:textId="77777777" w:rsidR="00F47AD0" w:rsidRPr="00DD1A9B" w:rsidRDefault="00F47AD0" w:rsidP="00F47AD0">
      <w:pPr>
        <w:pStyle w:val="Odstavecseseznamem"/>
        <w:numPr>
          <w:ilvl w:val="0"/>
          <w:numId w:val="12"/>
        </w:numPr>
        <w:tabs>
          <w:tab w:val="left" w:pos="540"/>
          <w:tab w:val="left" w:pos="1980"/>
          <w:tab w:val="left" w:pos="7380"/>
        </w:tabs>
        <w:spacing w:after="240"/>
        <w:jc w:val="both"/>
        <w:rPr>
          <w:rFonts w:ascii="Times New Roman" w:hAnsi="Times New Roman"/>
        </w:rPr>
      </w:pPr>
      <w:r w:rsidRPr="00DD1A9B">
        <w:rPr>
          <w:rFonts w:ascii="Times New Roman" w:hAnsi="Times New Roman"/>
        </w:rPr>
        <w:t>Prodávající je povinen předmět koupě dodat do místa plnění</w:t>
      </w:r>
      <w:r>
        <w:rPr>
          <w:rFonts w:ascii="Times New Roman" w:hAnsi="Times New Roman"/>
        </w:rPr>
        <w:t>:</w:t>
      </w:r>
      <w:r w:rsidRPr="00DD1A9B">
        <w:rPr>
          <w:rFonts w:ascii="Times New Roman" w:hAnsi="Times New Roman"/>
        </w:rPr>
        <w:t xml:space="preserve"> </w:t>
      </w:r>
    </w:p>
    <w:p w14:paraId="2B12D45E" w14:textId="0C17CC42" w:rsidR="00F47AD0" w:rsidRPr="00DE67AA" w:rsidRDefault="00F47AD0" w:rsidP="00FC6645">
      <w:pPr>
        <w:pStyle w:val="Odstavecseseznamem"/>
        <w:numPr>
          <w:ilvl w:val="0"/>
          <w:numId w:val="29"/>
        </w:numPr>
        <w:rPr>
          <w:rFonts w:ascii="Times New Roman" w:hAnsi="Times New Roman"/>
        </w:rPr>
      </w:pPr>
      <w:r w:rsidRPr="00DD1A9B">
        <w:rPr>
          <w:rFonts w:ascii="Times New Roman" w:hAnsi="Times New Roman"/>
        </w:rPr>
        <w:t xml:space="preserve">místem plnění je sídlo zadavatele, </w:t>
      </w:r>
      <w:r w:rsidR="00D52C89">
        <w:rPr>
          <w:rFonts w:ascii="Times New Roman" w:hAnsi="Times New Roman"/>
        </w:rPr>
        <w:t>Vysoká škola báňská – Technická univerzita Ostrava</w:t>
      </w:r>
      <w:r w:rsidR="00DE67AA" w:rsidRPr="00DE67AA">
        <w:rPr>
          <w:rFonts w:ascii="Times New Roman" w:hAnsi="Times New Roman"/>
        </w:rPr>
        <w:t xml:space="preserve">, </w:t>
      </w:r>
      <w:r w:rsidR="00177D37">
        <w:rPr>
          <w:rFonts w:ascii="Times New Roman" w:hAnsi="Times New Roman"/>
        </w:rPr>
        <w:t>17.</w:t>
      </w:r>
      <w:r w:rsidR="0016534C">
        <w:rPr>
          <w:rFonts w:ascii="Times New Roman" w:hAnsi="Times New Roman"/>
        </w:rPr>
        <w:t> </w:t>
      </w:r>
      <w:r w:rsidR="00177D37">
        <w:rPr>
          <w:rFonts w:ascii="Times New Roman" w:hAnsi="Times New Roman"/>
        </w:rPr>
        <w:t>listopadu 2172/15</w:t>
      </w:r>
      <w:r w:rsidR="00FC6645" w:rsidRPr="00FC6645">
        <w:rPr>
          <w:rFonts w:ascii="Times New Roman" w:hAnsi="Times New Roman"/>
        </w:rPr>
        <w:t>, 708 00 Ostrava – Poruba,</w:t>
      </w:r>
    </w:p>
    <w:p w14:paraId="0C69EA8D" w14:textId="398AC02A" w:rsidR="00F47AD0" w:rsidRPr="00177D37" w:rsidRDefault="00F47AD0" w:rsidP="00177D37">
      <w:pPr>
        <w:pStyle w:val="Odstavecseseznamem"/>
        <w:numPr>
          <w:ilvl w:val="0"/>
          <w:numId w:val="29"/>
        </w:numPr>
        <w:tabs>
          <w:tab w:val="left" w:pos="540"/>
          <w:tab w:val="left" w:pos="1980"/>
          <w:tab w:val="left" w:pos="7380"/>
        </w:tabs>
        <w:spacing w:after="240"/>
        <w:ind w:left="567" w:hanging="227"/>
        <w:jc w:val="both"/>
        <w:rPr>
          <w:rFonts w:ascii="Times New Roman" w:hAnsi="Times New Roman"/>
        </w:rPr>
      </w:pPr>
      <w:r w:rsidRPr="00DD1A9B">
        <w:rPr>
          <w:rFonts w:ascii="Times New Roman" w:hAnsi="Times New Roman"/>
        </w:rPr>
        <w:t xml:space="preserve">místo vykládky: budova </w:t>
      </w:r>
      <w:r w:rsidR="00177D37">
        <w:rPr>
          <w:rFonts w:ascii="Times New Roman" w:hAnsi="Times New Roman"/>
        </w:rPr>
        <w:t>A (rektorát)</w:t>
      </w:r>
      <w:r w:rsidRPr="00DD1A9B">
        <w:rPr>
          <w:rFonts w:ascii="Times New Roman" w:hAnsi="Times New Roman"/>
        </w:rPr>
        <w:t xml:space="preserve">, </w:t>
      </w:r>
      <w:r w:rsidR="00177D37">
        <w:rPr>
          <w:rFonts w:ascii="Times New Roman" w:hAnsi="Times New Roman"/>
        </w:rPr>
        <w:t>místnost A 341.</w:t>
      </w:r>
    </w:p>
    <w:p w14:paraId="5657D2E0" w14:textId="77777777"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14:paraId="0241C94D" w14:textId="77777777"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14:paraId="30D42DFF" w14:textId="4E9CE78A"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 xml:space="preserve">Prodávající je povinen dodat předmět koupě </w:t>
      </w:r>
      <w:bookmarkStart w:id="0" w:name="_GoBack"/>
      <w:bookmarkEnd w:id="0"/>
      <w:r w:rsidRPr="00CA0DCC">
        <w:rPr>
          <w:sz w:val="22"/>
          <w:szCs w:val="22"/>
        </w:rPr>
        <w:t xml:space="preserve">nejpozději </w:t>
      </w:r>
      <w:r w:rsidRPr="00CA0DCC">
        <w:rPr>
          <w:b/>
          <w:sz w:val="22"/>
          <w:szCs w:val="22"/>
        </w:rPr>
        <w:t xml:space="preserve">do </w:t>
      </w:r>
      <w:r w:rsidR="00CA0DCC" w:rsidRPr="00CA0DCC">
        <w:rPr>
          <w:b/>
          <w:sz w:val="22"/>
          <w:szCs w:val="22"/>
        </w:rPr>
        <w:t>3 týdnů od účinnosti kupní smlouvy</w:t>
      </w:r>
      <w:r w:rsidR="00AB71C2" w:rsidRPr="00CA0DCC">
        <w:rPr>
          <w:b/>
          <w:sz w:val="22"/>
          <w:szCs w:val="22"/>
        </w:rPr>
        <w:t>.</w:t>
      </w:r>
      <w:r w:rsidRPr="00F47AD0">
        <w:rPr>
          <w:sz w:val="22"/>
          <w:szCs w:val="22"/>
        </w:rPr>
        <w:t xml:space="preserve"> </w:t>
      </w:r>
    </w:p>
    <w:p w14:paraId="56F54AC2"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Kupující požaduje dodat zboží jedinou dodávkou ve lhůtě stanovené v bodě 1 tohoto článku.</w:t>
      </w:r>
    </w:p>
    <w:p w14:paraId="1B41CB05" w14:textId="77777777" w:rsidR="0043148A" w:rsidRPr="0043148A" w:rsidRDefault="0043148A" w:rsidP="0043148A">
      <w:pPr>
        <w:widowControl w:val="0"/>
        <w:ind w:left="426"/>
        <w:jc w:val="both"/>
        <w:rPr>
          <w:rFonts w:eastAsia="Calibri"/>
          <w:bCs/>
          <w:spacing w:val="-1"/>
          <w:sz w:val="22"/>
          <w:szCs w:val="22"/>
          <w:lang w:eastAsia="en-US"/>
        </w:rPr>
      </w:pPr>
    </w:p>
    <w:p w14:paraId="461650CA" w14:textId="77777777"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14:paraId="61262448" w14:textId="77777777"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14:paraId="0F4AC244" w14:textId="77777777"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14:paraId="420B5197" w14:textId="77777777"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14:paraId="4745F21C" w14:textId="77777777"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14:paraId="6165F75C" w14:textId="77777777"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14:paraId="1FCF6070" w14:textId="77777777" w:rsidR="00421616" w:rsidRPr="00112608" w:rsidRDefault="00421616" w:rsidP="00112608">
      <w:pPr>
        <w:pStyle w:val="Zkladntextodsazen"/>
        <w:tabs>
          <w:tab w:val="clear" w:pos="357"/>
        </w:tabs>
        <w:spacing w:before="120" w:after="120" w:line="276" w:lineRule="auto"/>
        <w:rPr>
          <w:sz w:val="22"/>
          <w:szCs w:val="22"/>
        </w:rPr>
      </w:pPr>
    </w:p>
    <w:p w14:paraId="71B35E42"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14:paraId="09340550"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14:paraId="2BBC80F1" w14:textId="77777777"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9AB5DD6" w14:textId="77777777"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3E3BD51A"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186B11C0"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5E94BB47"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09D41DB1" w14:textId="2E0F1035" w:rsidR="006C73CA" w:rsidRDefault="006C73CA" w:rsidP="00350893">
      <w:pPr>
        <w:pStyle w:val="OdstavecSmlouvy"/>
        <w:keepLines w:val="0"/>
        <w:numPr>
          <w:ilvl w:val="0"/>
          <w:numId w:val="0"/>
        </w:numPr>
        <w:tabs>
          <w:tab w:val="clear" w:pos="426"/>
          <w:tab w:val="clear" w:pos="1701"/>
          <w:tab w:val="left" w:pos="-1418"/>
        </w:tabs>
        <w:spacing w:line="276" w:lineRule="auto"/>
        <w:rPr>
          <w:sz w:val="22"/>
          <w:szCs w:val="22"/>
        </w:rPr>
      </w:pPr>
    </w:p>
    <w:p w14:paraId="2983D3B6" w14:textId="77777777"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14:paraId="415DC0BD" w14:textId="77777777"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14:paraId="44B7E169" w14:textId="77777777" w:rsidR="006C5172" w:rsidRDefault="006C5172" w:rsidP="00932B05">
      <w:pPr>
        <w:tabs>
          <w:tab w:val="left" w:pos="-1418"/>
        </w:tabs>
        <w:spacing w:before="120" w:line="276" w:lineRule="auto"/>
        <w:jc w:val="both"/>
        <w:rPr>
          <w:sz w:val="22"/>
          <w:szCs w:val="22"/>
        </w:rPr>
      </w:pPr>
    </w:p>
    <w:p w14:paraId="5D4F4F50" w14:textId="77777777" w:rsidR="006C5172" w:rsidRPr="0055327D" w:rsidRDefault="006C5172" w:rsidP="000338A0">
      <w:pPr>
        <w:pStyle w:val="Smlouva2"/>
        <w:widowControl/>
        <w:spacing w:before="360" w:line="276" w:lineRule="auto"/>
        <w:rPr>
          <w:sz w:val="22"/>
          <w:szCs w:val="22"/>
        </w:rPr>
      </w:pPr>
      <w:r w:rsidRPr="0055327D">
        <w:rPr>
          <w:sz w:val="22"/>
          <w:szCs w:val="22"/>
        </w:rPr>
        <w:t>IX.</w:t>
      </w:r>
    </w:p>
    <w:p w14:paraId="46A2858E" w14:textId="77777777"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14:paraId="63EA7C17" w14:textId="77777777"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14:paraId="35A76096" w14:textId="77777777"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14:paraId="71313959" w14:textId="77777777"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14:paraId="087209E4" w14:textId="77777777" w:rsidR="00925FCD" w:rsidRPr="008E0586" w:rsidRDefault="00925FCD" w:rsidP="00925FCD">
      <w:pPr>
        <w:tabs>
          <w:tab w:val="left" w:pos="-1418"/>
        </w:tabs>
        <w:spacing w:before="120" w:line="276" w:lineRule="auto"/>
        <w:jc w:val="both"/>
        <w:rPr>
          <w:sz w:val="22"/>
          <w:szCs w:val="22"/>
        </w:rPr>
      </w:pPr>
    </w:p>
    <w:p w14:paraId="19F21B5D" w14:textId="77777777" w:rsidR="006C5172" w:rsidRPr="0055327D" w:rsidRDefault="006C5172" w:rsidP="008E7A48">
      <w:pPr>
        <w:spacing w:before="360" w:line="276" w:lineRule="auto"/>
        <w:jc w:val="center"/>
        <w:rPr>
          <w:b/>
          <w:sz w:val="22"/>
          <w:szCs w:val="22"/>
        </w:rPr>
      </w:pPr>
      <w:r w:rsidRPr="0055327D">
        <w:rPr>
          <w:b/>
          <w:sz w:val="22"/>
          <w:szCs w:val="22"/>
        </w:rPr>
        <w:t>X.</w:t>
      </w:r>
    </w:p>
    <w:p w14:paraId="781086B7"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14:paraId="2D0D02B5" w14:textId="77777777"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14:paraId="672DA6B4" w14:textId="77777777"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14:paraId="5D613622"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14:paraId="7566A205" w14:textId="59E9DBD4"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AB71C2">
        <w:rPr>
          <w:sz w:val="22"/>
          <w:szCs w:val="22"/>
        </w:rPr>
        <w:t>2</w:t>
      </w:r>
      <w:r w:rsidR="00350893">
        <w:rPr>
          <w:sz w:val="22"/>
          <w:szCs w:val="22"/>
        </w:rPr>
        <w:t>5</w:t>
      </w:r>
      <w:r w:rsidR="00AF5845">
        <w:rPr>
          <w:sz w:val="22"/>
          <w:szCs w:val="22"/>
        </w:rPr>
        <w:t>/</w:t>
      </w:r>
      <w:r w:rsidR="00053002">
        <w:rPr>
          <w:sz w:val="22"/>
          <w:szCs w:val="22"/>
        </w:rPr>
        <w:t>201</w:t>
      </w:r>
      <w:r w:rsidR="00322D1C">
        <w:rPr>
          <w:sz w:val="22"/>
          <w:szCs w:val="22"/>
        </w:rPr>
        <w:t>9</w:t>
      </w:r>
      <w:r>
        <w:rPr>
          <w:sz w:val="22"/>
          <w:szCs w:val="22"/>
        </w:rPr>
        <w:t>)</w:t>
      </w:r>
      <w:r w:rsidR="00322D1C">
        <w:rPr>
          <w:sz w:val="22"/>
          <w:szCs w:val="22"/>
        </w:rPr>
        <w:t>,</w:t>
      </w:r>
    </w:p>
    <w:p w14:paraId="7D629AB1"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14:paraId="4AD56253" w14:textId="77777777"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14:paraId="7729E4E3" w14:textId="77777777"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14:paraId="1D3ED765"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14:paraId="0EDA0C25"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14:paraId="5E10A1BC" w14:textId="77777777"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14:paraId="3F198F46" w14:textId="77777777"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14:paraId="529A526F" w14:textId="77777777"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14:paraId="05595CA5" w14:textId="77777777"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043E422" w14:textId="77777777" w:rsidR="0043148A" w:rsidRDefault="0043148A" w:rsidP="0043148A">
      <w:pPr>
        <w:pStyle w:val="Zkladntext"/>
        <w:tabs>
          <w:tab w:val="left" w:pos="0"/>
        </w:tabs>
        <w:spacing w:before="120" w:line="276" w:lineRule="auto"/>
        <w:rPr>
          <w:sz w:val="22"/>
          <w:szCs w:val="22"/>
        </w:rPr>
      </w:pPr>
    </w:p>
    <w:p w14:paraId="5793BD0C" w14:textId="77777777" w:rsidR="0043148A" w:rsidRDefault="0043148A" w:rsidP="0043148A">
      <w:pPr>
        <w:pStyle w:val="Zkladntext"/>
        <w:tabs>
          <w:tab w:val="left" w:pos="0"/>
        </w:tabs>
        <w:spacing w:before="120" w:line="276" w:lineRule="auto"/>
        <w:rPr>
          <w:sz w:val="22"/>
          <w:szCs w:val="22"/>
        </w:rPr>
      </w:pPr>
    </w:p>
    <w:p w14:paraId="59C86740" w14:textId="77777777" w:rsidR="007162C3" w:rsidRPr="00C913D5" w:rsidRDefault="007162C3" w:rsidP="0043148A">
      <w:pPr>
        <w:pStyle w:val="Zkladntext"/>
        <w:tabs>
          <w:tab w:val="left" w:pos="0"/>
        </w:tabs>
        <w:spacing w:before="120" w:line="276" w:lineRule="auto"/>
        <w:rPr>
          <w:sz w:val="22"/>
          <w:szCs w:val="22"/>
        </w:rPr>
      </w:pPr>
    </w:p>
    <w:p w14:paraId="782DDFAF" w14:textId="77777777"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14:paraId="12EB29D3" w14:textId="77777777"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14:paraId="62B030D5" w14:textId="77777777" w:rsidR="00150752" w:rsidRPr="00150752" w:rsidRDefault="00150752" w:rsidP="00150752">
      <w:pPr>
        <w:pStyle w:val="Zkladntext"/>
        <w:tabs>
          <w:tab w:val="left" w:pos="0"/>
        </w:tabs>
        <w:spacing w:before="120" w:line="276" w:lineRule="auto"/>
        <w:ind w:left="340"/>
        <w:rPr>
          <w:sz w:val="22"/>
          <w:szCs w:val="22"/>
        </w:rPr>
      </w:pPr>
    </w:p>
    <w:p w14:paraId="1C4E498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14:paraId="026773F9" w14:textId="77777777" w:rsidR="006C5172" w:rsidRPr="002D4EDD" w:rsidRDefault="006C5172" w:rsidP="000338A0">
      <w:pPr>
        <w:pStyle w:val="Nadpis2"/>
        <w:spacing w:after="120" w:line="276" w:lineRule="auto"/>
        <w:rPr>
          <w:sz w:val="22"/>
          <w:szCs w:val="22"/>
        </w:rPr>
      </w:pPr>
      <w:r w:rsidRPr="002D4EDD">
        <w:rPr>
          <w:sz w:val="22"/>
          <w:szCs w:val="22"/>
        </w:rPr>
        <w:t>Záruční podmínky</w:t>
      </w:r>
    </w:p>
    <w:p w14:paraId="55D8C636" w14:textId="77777777"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14:paraId="7838ECA5" w14:textId="77777777"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14:paraId="3ADB5D6B" w14:textId="77777777" w:rsidR="0043148A" w:rsidRPr="00112608" w:rsidRDefault="0043148A" w:rsidP="0043148A">
      <w:pPr>
        <w:pStyle w:val="Smlouva-slo"/>
        <w:spacing w:line="276" w:lineRule="auto"/>
        <w:rPr>
          <w:sz w:val="22"/>
          <w:szCs w:val="22"/>
        </w:rPr>
      </w:pPr>
    </w:p>
    <w:p w14:paraId="0C9BA5DF" w14:textId="77777777"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14:paraId="4A3700E0" w14:textId="77777777"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14:paraId="3B29794D" w14:textId="77777777"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14:paraId="411F5657" w14:textId="77777777" w:rsidR="00A73C92" w:rsidRPr="0015702C" w:rsidRDefault="00A73C92" w:rsidP="0015702C">
      <w:pPr>
        <w:pStyle w:val="Zkladntext3"/>
        <w:tabs>
          <w:tab w:val="left" w:pos="360"/>
        </w:tabs>
        <w:spacing w:before="120" w:line="276" w:lineRule="auto"/>
        <w:rPr>
          <w:sz w:val="22"/>
          <w:szCs w:val="22"/>
        </w:rPr>
      </w:pPr>
    </w:p>
    <w:p w14:paraId="6A401980"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14:paraId="381F31CC" w14:textId="77777777" w:rsidR="00B33437" w:rsidRPr="002D315D" w:rsidRDefault="006C5172" w:rsidP="002D315D">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14:paraId="1FC620F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1.</w:t>
      </w:r>
      <w:r w:rsidRPr="002D315D">
        <w:rPr>
          <w:sz w:val="22"/>
          <w:szCs w:val="22"/>
        </w:rPr>
        <w:tab/>
        <w:t>Nedodá-li prodávající kupujícímu předmět koupě ve lhůtě dle článku VI., zaplatí kupujícímu smluvní pokutu ve výši 0,5 % z celkové kupní ceny sjednané touto smlouvou, za každý i započatý den prodlení.</w:t>
      </w:r>
    </w:p>
    <w:p w14:paraId="0EEBBD56"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2.</w:t>
      </w:r>
      <w:r w:rsidRPr="002D315D">
        <w:rPr>
          <w:sz w:val="22"/>
          <w:szCs w:val="22"/>
        </w:rPr>
        <w:tab/>
        <w:t>Bude-li kupující v prodlení s úhradou faktury, je povinen zaplatit prodávajícímu úrok z prodlení ve výši dle platného právního předpisu.</w:t>
      </w:r>
    </w:p>
    <w:p w14:paraId="04CB4DA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3.</w:t>
      </w:r>
      <w:r w:rsidRPr="002D315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066EEF77"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4.</w:t>
      </w:r>
      <w:r w:rsidRPr="002D315D">
        <w:rPr>
          <w:sz w:val="22"/>
          <w:szCs w:val="22"/>
        </w:rPr>
        <w:tab/>
        <w:t xml:space="preserve">Smluvní strany jsou oprávněny k vzájemnému započtení případných existujících pohledávek. </w:t>
      </w:r>
    </w:p>
    <w:p w14:paraId="68E55C01"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5.</w:t>
      </w:r>
      <w:r w:rsidRPr="002D315D">
        <w:rPr>
          <w:sz w:val="22"/>
          <w:szCs w:val="22"/>
        </w:rPr>
        <w:tab/>
        <w:t>Odstoupení od smlouvy se řídí příslušnými ustanoveními občanského zákoníku.</w:t>
      </w:r>
    </w:p>
    <w:p w14:paraId="42077FE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6.</w:t>
      </w:r>
      <w:r w:rsidRPr="002D315D">
        <w:rPr>
          <w:sz w:val="22"/>
          <w:szCs w:val="22"/>
        </w:rPr>
        <w:tab/>
        <w:t>Kupující je oprávněn odstoupit od smlouvy, jestliže bude s prodávajícím zahájeno insolvenční řízení.</w:t>
      </w:r>
    </w:p>
    <w:p w14:paraId="34C2D68D"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7.</w:t>
      </w:r>
      <w:r w:rsidRPr="002D315D">
        <w:rPr>
          <w:sz w:val="22"/>
          <w:szCs w:val="22"/>
        </w:rPr>
        <w:tab/>
        <w:t>Nedodá-li prodávající kupujícímu předmět koupě ani do sedmi dnů po uplynutí lhůty dle článku VI., je kupující oprávněn od této smlouvy odstoupit.</w:t>
      </w:r>
    </w:p>
    <w:p w14:paraId="31ADAEF3" w14:textId="77777777" w:rsidR="00023AB3" w:rsidRDefault="00023AB3" w:rsidP="0015702C">
      <w:pPr>
        <w:tabs>
          <w:tab w:val="left" w:pos="1068"/>
        </w:tabs>
        <w:suppressAutoHyphens/>
        <w:spacing w:before="120" w:line="276" w:lineRule="auto"/>
        <w:ind w:left="426" w:hanging="425"/>
        <w:jc w:val="both"/>
        <w:rPr>
          <w:sz w:val="22"/>
          <w:szCs w:val="22"/>
        </w:rPr>
      </w:pPr>
    </w:p>
    <w:p w14:paraId="6F1D5DF1" w14:textId="77777777"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14:paraId="54A9D332" w14:textId="77777777"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14:paraId="3C8FEE2F" w14:textId="77777777" w:rsidR="001014A3" w:rsidRPr="001014A3" w:rsidRDefault="001014A3" w:rsidP="001014A3">
      <w:pPr>
        <w:numPr>
          <w:ilvl w:val="0"/>
          <w:numId w:val="6"/>
        </w:numPr>
        <w:tabs>
          <w:tab w:val="left" w:pos="426"/>
        </w:tabs>
        <w:spacing w:before="120" w:line="276" w:lineRule="auto"/>
        <w:jc w:val="both"/>
        <w:rPr>
          <w:sz w:val="22"/>
          <w:szCs w:val="22"/>
        </w:rPr>
      </w:pPr>
      <w:r w:rsidRPr="001014A3">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78B14901" w14:textId="3D0CFF59" w:rsidR="001014A3" w:rsidRPr="001014A3" w:rsidRDefault="001014A3" w:rsidP="001014A3">
      <w:pPr>
        <w:numPr>
          <w:ilvl w:val="0"/>
          <w:numId w:val="6"/>
        </w:numPr>
        <w:tabs>
          <w:tab w:val="left" w:pos="426"/>
        </w:tabs>
        <w:spacing w:before="120" w:line="276" w:lineRule="auto"/>
        <w:jc w:val="both"/>
        <w:rPr>
          <w:sz w:val="22"/>
          <w:szCs w:val="22"/>
        </w:rPr>
      </w:pPr>
      <w:r w:rsidRPr="001014A3">
        <w:rPr>
          <w:sz w:val="22"/>
          <w:szCs w:val="22"/>
        </w:rPr>
        <w:t>Registraci této smlouvy dle ustanovení § 5 zákona č. 340/2015 Sb., o registru smluv provede na základě dohody smluvních stran kupující, a to tak, aby potvrzení o provedení registrace smlouvy bylo zasláno oběma smluvním stranám</w:t>
      </w:r>
      <w:r>
        <w:rPr>
          <w:sz w:val="22"/>
          <w:szCs w:val="22"/>
        </w:rPr>
        <w:t>.</w:t>
      </w:r>
    </w:p>
    <w:p w14:paraId="3FD201B0" w14:textId="77777777"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14:paraId="7697943A" w14:textId="77777777"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14:paraId="301E665D" w14:textId="77777777"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14:paraId="1949C9D7" w14:textId="77777777"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ED0FE98" w14:textId="77777777"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14:paraId="72C3DD9D" w14:textId="77777777"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3270FA9A" w14:textId="783462C8" w:rsidR="007162C3" w:rsidRPr="00350893" w:rsidRDefault="00B04086" w:rsidP="00350893">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14:paraId="334AB36C" w14:textId="77777777" w:rsidR="007162C3" w:rsidRDefault="007162C3" w:rsidP="00B03781">
      <w:pPr>
        <w:spacing w:line="276" w:lineRule="auto"/>
        <w:ind w:left="330"/>
        <w:jc w:val="both"/>
        <w:rPr>
          <w:sz w:val="22"/>
          <w:szCs w:val="22"/>
        </w:rPr>
      </w:pPr>
    </w:p>
    <w:p w14:paraId="53D20907" w14:textId="77777777"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14:paraId="3BB146BB" w14:textId="77777777" w:rsidR="00F45928" w:rsidRPr="0074268E" w:rsidRDefault="00F45928" w:rsidP="00B04086">
      <w:pPr>
        <w:spacing w:line="276" w:lineRule="auto"/>
        <w:ind w:left="330"/>
        <w:jc w:val="both"/>
        <w:rPr>
          <w:sz w:val="22"/>
          <w:szCs w:val="22"/>
        </w:rPr>
      </w:pPr>
    </w:p>
    <w:p w14:paraId="1AF35112" w14:textId="77777777"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14:paraId="0379F0EA" w14:textId="77777777"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14:paraId="781BFE85" w14:textId="77777777"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14:paraId="65003963" w14:textId="77777777"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14:paraId="54A67B95" w14:textId="77777777"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14:paraId="11DFDD32" w14:textId="77777777" w:rsidR="004868C2" w:rsidRPr="0055327D" w:rsidRDefault="004868C2" w:rsidP="000338A0">
      <w:pPr>
        <w:tabs>
          <w:tab w:val="left" w:pos="567"/>
          <w:tab w:val="left" w:pos="1701"/>
        </w:tabs>
        <w:spacing w:line="276" w:lineRule="auto"/>
        <w:rPr>
          <w:rStyle w:val="platne1"/>
          <w:sz w:val="22"/>
          <w:szCs w:val="22"/>
        </w:rPr>
      </w:pPr>
    </w:p>
    <w:p w14:paraId="54358760" w14:textId="77777777"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14:paraId="24976144" w14:textId="77777777"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14:paraId="5E7B3D0D" w14:textId="77777777"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14:paraId="38E20346"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14:paraId="51A46F51"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2C4F5CEE" w14:textId="77777777"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14:paraId="7BACDC84"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3194ADCA"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14:paraId="2FDBDF59" w14:textId="77777777"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w:t>
      </w:r>
      <w:proofErr w:type="gramStart"/>
      <w:r w:rsidRPr="00A73C92">
        <w:rPr>
          <w:sz w:val="22"/>
          <w:szCs w:val="22"/>
        </w:rPr>
        <w:t>kupujícího:                                                                     za</w:t>
      </w:r>
      <w:proofErr w:type="gramEnd"/>
      <w:r w:rsidRPr="00A73C92">
        <w:rPr>
          <w:sz w:val="22"/>
          <w:szCs w:val="22"/>
        </w:rPr>
        <w:t xml:space="preserve"> prodávajícího:</w:t>
      </w:r>
    </w:p>
    <w:p w14:paraId="21141F51" w14:textId="77777777" w:rsidR="001C2F3D" w:rsidRDefault="001C2F3D" w:rsidP="000338A0">
      <w:pPr>
        <w:spacing w:line="276" w:lineRule="auto"/>
        <w:rPr>
          <w:sz w:val="22"/>
          <w:szCs w:val="22"/>
        </w:rPr>
      </w:pPr>
    </w:p>
    <w:p w14:paraId="1C0232EE" w14:textId="77777777"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78621F">
        <w:rPr>
          <w:sz w:val="22"/>
          <w:szCs w:val="22"/>
        </w:rPr>
        <w:t>jméno:</w:t>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14:paraId="1B689966" w14:textId="77777777"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78621F">
        <w:rPr>
          <w:sz w:val="22"/>
          <w:szCs w:val="22"/>
        </w:rPr>
        <w:t xml:space="preserve">funkce: </w:t>
      </w:r>
      <w:r w:rsidR="001B4ACC">
        <w:rPr>
          <w:sz w:val="22"/>
          <w:szCs w:val="22"/>
        </w:rPr>
        <w:t>(</w:t>
      </w:r>
      <w:r w:rsidR="001B4ACC" w:rsidRPr="004F58BC">
        <w:rPr>
          <w:sz w:val="22"/>
          <w:szCs w:val="22"/>
          <w:highlight w:val="yellow"/>
        </w:rPr>
        <w:t>DOPLNÍ DODAVTEL</w:t>
      </w:r>
      <w:r w:rsidR="001B4ACC">
        <w:rPr>
          <w:sz w:val="22"/>
          <w:szCs w:val="22"/>
        </w:rPr>
        <w:t>)</w:t>
      </w:r>
    </w:p>
    <w:p w14:paraId="16D195BB" w14:textId="77777777" w:rsidR="00140116" w:rsidRDefault="00140116">
      <w:pPr>
        <w:spacing w:line="276" w:lineRule="auto"/>
        <w:rPr>
          <w:sz w:val="22"/>
          <w:szCs w:val="22"/>
        </w:rPr>
      </w:pPr>
    </w:p>
    <w:p w14:paraId="0169D8D7" w14:textId="77777777" w:rsidR="000A7D6F" w:rsidRDefault="000A7D6F">
      <w:pPr>
        <w:spacing w:line="276" w:lineRule="auto"/>
        <w:rPr>
          <w:sz w:val="22"/>
          <w:szCs w:val="22"/>
        </w:rPr>
      </w:pPr>
    </w:p>
    <w:p w14:paraId="54B06288" w14:textId="77777777" w:rsidR="000A7D6F" w:rsidRDefault="000A7D6F">
      <w:pPr>
        <w:spacing w:line="276" w:lineRule="auto"/>
        <w:rPr>
          <w:sz w:val="22"/>
          <w:szCs w:val="22"/>
        </w:rPr>
      </w:pPr>
    </w:p>
    <w:p w14:paraId="0DC0DE9E" w14:textId="77777777" w:rsidR="000A7D6F" w:rsidRDefault="000A7D6F">
      <w:pPr>
        <w:spacing w:line="276" w:lineRule="auto"/>
        <w:rPr>
          <w:sz w:val="22"/>
          <w:szCs w:val="22"/>
        </w:rPr>
      </w:pPr>
    </w:p>
    <w:p w14:paraId="3B28FEDC" w14:textId="77777777" w:rsidR="000A7D6F" w:rsidRDefault="000A7D6F">
      <w:pPr>
        <w:spacing w:line="276" w:lineRule="auto"/>
        <w:rPr>
          <w:sz w:val="22"/>
          <w:szCs w:val="22"/>
        </w:rPr>
      </w:pPr>
    </w:p>
    <w:p w14:paraId="2EC5FEE3" w14:textId="77777777" w:rsidR="000A7D6F" w:rsidRDefault="000A7D6F">
      <w:pPr>
        <w:spacing w:line="276" w:lineRule="auto"/>
        <w:rPr>
          <w:sz w:val="22"/>
          <w:szCs w:val="22"/>
        </w:rPr>
      </w:pPr>
    </w:p>
    <w:p w14:paraId="7CD01072" w14:textId="77777777" w:rsidR="000A7D6F" w:rsidRDefault="000A7D6F">
      <w:pPr>
        <w:spacing w:line="276" w:lineRule="auto"/>
        <w:rPr>
          <w:sz w:val="22"/>
          <w:szCs w:val="22"/>
        </w:rPr>
      </w:pPr>
    </w:p>
    <w:p w14:paraId="5513D847" w14:textId="77777777" w:rsidR="000A7D6F" w:rsidRDefault="000A7D6F">
      <w:pPr>
        <w:spacing w:line="276" w:lineRule="auto"/>
        <w:rPr>
          <w:sz w:val="22"/>
          <w:szCs w:val="22"/>
        </w:rPr>
      </w:pPr>
    </w:p>
    <w:p w14:paraId="755D072A" w14:textId="77777777" w:rsidR="000A7D6F" w:rsidRDefault="000A7D6F">
      <w:pPr>
        <w:spacing w:line="276" w:lineRule="auto"/>
        <w:rPr>
          <w:sz w:val="22"/>
          <w:szCs w:val="22"/>
        </w:rPr>
      </w:pPr>
    </w:p>
    <w:p w14:paraId="0CE8BB44" w14:textId="77777777" w:rsidR="000A7D6F" w:rsidRDefault="000A7D6F">
      <w:pPr>
        <w:spacing w:line="276" w:lineRule="auto"/>
        <w:rPr>
          <w:sz w:val="22"/>
          <w:szCs w:val="22"/>
        </w:rPr>
      </w:pPr>
    </w:p>
    <w:p w14:paraId="5764CD7C" w14:textId="77777777" w:rsidR="000A7D6F" w:rsidRDefault="000A7D6F">
      <w:pPr>
        <w:spacing w:line="276" w:lineRule="auto"/>
        <w:rPr>
          <w:sz w:val="22"/>
          <w:szCs w:val="22"/>
        </w:rPr>
      </w:pPr>
    </w:p>
    <w:p w14:paraId="512BE736" w14:textId="77777777" w:rsidR="000A7D6F" w:rsidRDefault="000A7D6F">
      <w:pPr>
        <w:spacing w:line="276" w:lineRule="auto"/>
        <w:rPr>
          <w:sz w:val="22"/>
          <w:szCs w:val="22"/>
        </w:rPr>
      </w:pPr>
    </w:p>
    <w:p w14:paraId="1C51E24E" w14:textId="77777777" w:rsidR="000A7D6F" w:rsidRDefault="000A7D6F">
      <w:pPr>
        <w:spacing w:line="276" w:lineRule="auto"/>
        <w:rPr>
          <w:sz w:val="22"/>
          <w:szCs w:val="22"/>
        </w:rPr>
      </w:pPr>
    </w:p>
    <w:p w14:paraId="0C637C18" w14:textId="77777777" w:rsidR="000A7D6F" w:rsidRDefault="000A7D6F" w:rsidP="000A7D6F"/>
    <w:p w14:paraId="5F9C4935" w14:textId="77777777" w:rsidR="000A7D6F" w:rsidRDefault="000A7D6F" w:rsidP="000A7D6F"/>
    <w:p w14:paraId="09B161B4" w14:textId="77777777" w:rsidR="000A7D6F" w:rsidRDefault="000A7D6F" w:rsidP="000A7D6F"/>
    <w:p w14:paraId="74FDFBFF" w14:textId="77777777" w:rsidR="000A7D6F" w:rsidRDefault="000A7D6F" w:rsidP="000A7D6F"/>
    <w:sectPr w:rsidR="000A7D6F" w:rsidSect="007B6CB1">
      <w:headerReference w:type="default" r:id="rId9"/>
      <w:footerReference w:type="even" r:id="rId10"/>
      <w:footerReference w:type="default" r:id="rId11"/>
      <w:headerReference w:type="first" r:id="rId12"/>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1105" w14:textId="77777777" w:rsidR="00CD5EDF" w:rsidRDefault="00CD5EDF">
      <w:r>
        <w:separator/>
      </w:r>
    </w:p>
  </w:endnote>
  <w:endnote w:type="continuationSeparator" w:id="0">
    <w:p w14:paraId="6EF57273" w14:textId="77777777" w:rsidR="00CD5EDF" w:rsidRDefault="00CD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CE5" w14:textId="77777777"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714D" w14:textId="77777777"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9CDD" w14:textId="6F13F454"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CA0DCC">
      <w:rPr>
        <w:rStyle w:val="slostrnky"/>
        <w:noProof/>
        <w:sz w:val="20"/>
      </w:rPr>
      <w:t>7</w:t>
    </w:r>
    <w:r>
      <w:rPr>
        <w:rStyle w:val="slostrnky"/>
        <w:sz w:val="20"/>
      </w:rPr>
      <w:fldChar w:fldCharType="end"/>
    </w:r>
  </w:p>
  <w:p w14:paraId="6B8CBC40" w14:textId="77777777"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A739" w14:textId="77777777" w:rsidR="00CD5EDF" w:rsidRDefault="00CD5EDF">
      <w:r>
        <w:separator/>
      </w:r>
    </w:p>
  </w:footnote>
  <w:footnote w:type="continuationSeparator" w:id="0">
    <w:p w14:paraId="07F464D6" w14:textId="77777777" w:rsidR="00CD5EDF" w:rsidRDefault="00CD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08FB" w14:textId="77777777" w:rsidR="007B6CB1" w:rsidRDefault="007B6CB1">
    <w:pPr>
      <w:pStyle w:val="Zhlav"/>
    </w:pPr>
  </w:p>
  <w:p w14:paraId="2EF68503" w14:textId="77777777"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3ACA" w14:textId="3071A02E" w:rsidR="007B6CB1" w:rsidRDefault="007B6CB1" w:rsidP="007B6CB1">
    <w:pPr>
      <w:pStyle w:val="Zhlav"/>
      <w:jc w:val="right"/>
    </w:pPr>
    <w:r w:rsidRPr="00E96F6E">
      <w:rPr>
        <w:b/>
        <w:sz w:val="22"/>
        <w:szCs w:val="22"/>
      </w:rPr>
      <w:t>S</w:t>
    </w:r>
    <w:r w:rsidR="00AC0649">
      <w:rPr>
        <w:b/>
        <w:sz w:val="22"/>
        <w:szCs w:val="22"/>
      </w:rPr>
      <w:t>224</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6"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7"/>
  </w:num>
  <w:num w:numId="3">
    <w:abstractNumId w:val="33"/>
  </w:num>
  <w:num w:numId="4">
    <w:abstractNumId w:val="10"/>
  </w:num>
  <w:num w:numId="5">
    <w:abstractNumId w:val="19"/>
  </w:num>
  <w:num w:numId="6">
    <w:abstractNumId w:val="14"/>
  </w:num>
  <w:num w:numId="7">
    <w:abstractNumId w:val="25"/>
  </w:num>
  <w:num w:numId="8">
    <w:abstractNumId w:val="28"/>
  </w:num>
  <w:num w:numId="9">
    <w:abstractNumId w:val="20"/>
  </w:num>
  <w:num w:numId="10">
    <w:abstractNumId w:val="13"/>
  </w:num>
  <w:num w:numId="11">
    <w:abstractNumId w:val="22"/>
  </w:num>
  <w:num w:numId="12">
    <w:abstractNumId w:val="9"/>
  </w:num>
  <w:num w:numId="13">
    <w:abstractNumId w:val="6"/>
  </w:num>
  <w:num w:numId="14">
    <w:abstractNumId w:val="24"/>
  </w:num>
  <w:num w:numId="15">
    <w:abstractNumId w:val="34"/>
  </w:num>
  <w:num w:numId="16">
    <w:abstractNumId w:val="21"/>
  </w:num>
  <w:num w:numId="17">
    <w:abstractNumId w:val="30"/>
  </w:num>
  <w:num w:numId="18">
    <w:abstractNumId w:val="31"/>
  </w:num>
  <w:num w:numId="19">
    <w:abstractNumId w:val="18"/>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3"/>
  </w:num>
  <w:num w:numId="28">
    <w:abstractNumId w:val="3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2E37"/>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2A0F"/>
    <w:rsid w:val="000C58D7"/>
    <w:rsid w:val="000C6AC1"/>
    <w:rsid w:val="000C714B"/>
    <w:rsid w:val="000D3CA5"/>
    <w:rsid w:val="000D4302"/>
    <w:rsid w:val="000D444E"/>
    <w:rsid w:val="000E3F57"/>
    <w:rsid w:val="000E401B"/>
    <w:rsid w:val="000E5387"/>
    <w:rsid w:val="000E653D"/>
    <w:rsid w:val="000E68EA"/>
    <w:rsid w:val="000E763B"/>
    <w:rsid w:val="000F1AF2"/>
    <w:rsid w:val="000F2263"/>
    <w:rsid w:val="000F3245"/>
    <w:rsid w:val="000F4629"/>
    <w:rsid w:val="000F57E4"/>
    <w:rsid w:val="000F5E81"/>
    <w:rsid w:val="0010120D"/>
    <w:rsid w:val="001014A3"/>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6534C"/>
    <w:rsid w:val="0017097A"/>
    <w:rsid w:val="00174D34"/>
    <w:rsid w:val="00174FE9"/>
    <w:rsid w:val="00177697"/>
    <w:rsid w:val="00177D3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21FA"/>
    <w:rsid w:val="001D3917"/>
    <w:rsid w:val="001D5735"/>
    <w:rsid w:val="001E1073"/>
    <w:rsid w:val="001E3492"/>
    <w:rsid w:val="001E6125"/>
    <w:rsid w:val="001E67FD"/>
    <w:rsid w:val="001F1395"/>
    <w:rsid w:val="001F5A2B"/>
    <w:rsid w:val="001F5AAC"/>
    <w:rsid w:val="001F75DB"/>
    <w:rsid w:val="00201C77"/>
    <w:rsid w:val="002106F3"/>
    <w:rsid w:val="00211EA4"/>
    <w:rsid w:val="002158B9"/>
    <w:rsid w:val="002158C9"/>
    <w:rsid w:val="00216628"/>
    <w:rsid w:val="00222C8F"/>
    <w:rsid w:val="00226049"/>
    <w:rsid w:val="00226B50"/>
    <w:rsid w:val="00227C1F"/>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C7125"/>
    <w:rsid w:val="002D315D"/>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082C"/>
    <w:rsid w:val="003415E6"/>
    <w:rsid w:val="00342BC1"/>
    <w:rsid w:val="0034549B"/>
    <w:rsid w:val="0035045D"/>
    <w:rsid w:val="00350893"/>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4ED6"/>
    <w:rsid w:val="003B6FA4"/>
    <w:rsid w:val="003C0E23"/>
    <w:rsid w:val="003C216F"/>
    <w:rsid w:val="003C29C7"/>
    <w:rsid w:val="003C3C2E"/>
    <w:rsid w:val="003D0D8A"/>
    <w:rsid w:val="003D44DF"/>
    <w:rsid w:val="003D59B7"/>
    <w:rsid w:val="003D6B13"/>
    <w:rsid w:val="003D7043"/>
    <w:rsid w:val="003E05E5"/>
    <w:rsid w:val="003E2800"/>
    <w:rsid w:val="003E2D99"/>
    <w:rsid w:val="003E488F"/>
    <w:rsid w:val="003E634D"/>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B035F"/>
    <w:rsid w:val="004B0404"/>
    <w:rsid w:val="004B0624"/>
    <w:rsid w:val="004B678F"/>
    <w:rsid w:val="004C2877"/>
    <w:rsid w:val="004C2D34"/>
    <w:rsid w:val="004C3939"/>
    <w:rsid w:val="004C40FE"/>
    <w:rsid w:val="004D1CBD"/>
    <w:rsid w:val="004D22B2"/>
    <w:rsid w:val="004D30D2"/>
    <w:rsid w:val="004D64FF"/>
    <w:rsid w:val="004F1A18"/>
    <w:rsid w:val="004F22D4"/>
    <w:rsid w:val="004F4773"/>
    <w:rsid w:val="004F57A8"/>
    <w:rsid w:val="004F57FB"/>
    <w:rsid w:val="004F58BC"/>
    <w:rsid w:val="00500B81"/>
    <w:rsid w:val="005135ED"/>
    <w:rsid w:val="00513666"/>
    <w:rsid w:val="0051443A"/>
    <w:rsid w:val="005155E9"/>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65E1A"/>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4C71"/>
    <w:rsid w:val="005B5E10"/>
    <w:rsid w:val="005C79A8"/>
    <w:rsid w:val="005D240A"/>
    <w:rsid w:val="005D2EEC"/>
    <w:rsid w:val="005D3FCB"/>
    <w:rsid w:val="005D40AF"/>
    <w:rsid w:val="005D61D6"/>
    <w:rsid w:val="005D68BB"/>
    <w:rsid w:val="005E00F6"/>
    <w:rsid w:val="005E2AC1"/>
    <w:rsid w:val="005F1887"/>
    <w:rsid w:val="005F4BE3"/>
    <w:rsid w:val="0060124A"/>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F9F"/>
    <w:rsid w:val="00667EE0"/>
    <w:rsid w:val="00677A21"/>
    <w:rsid w:val="00680FDB"/>
    <w:rsid w:val="0068412E"/>
    <w:rsid w:val="00686C7B"/>
    <w:rsid w:val="00687B58"/>
    <w:rsid w:val="006936A4"/>
    <w:rsid w:val="00694A2D"/>
    <w:rsid w:val="006A0568"/>
    <w:rsid w:val="006A12AC"/>
    <w:rsid w:val="006A2783"/>
    <w:rsid w:val="006A4CB1"/>
    <w:rsid w:val="006A67B8"/>
    <w:rsid w:val="006B044C"/>
    <w:rsid w:val="006B046F"/>
    <w:rsid w:val="006B16B8"/>
    <w:rsid w:val="006B3000"/>
    <w:rsid w:val="006C13D2"/>
    <w:rsid w:val="006C21EA"/>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27DD4"/>
    <w:rsid w:val="007306D7"/>
    <w:rsid w:val="00731844"/>
    <w:rsid w:val="00731AA6"/>
    <w:rsid w:val="00731F56"/>
    <w:rsid w:val="00734598"/>
    <w:rsid w:val="007359DC"/>
    <w:rsid w:val="00736EEA"/>
    <w:rsid w:val="00737694"/>
    <w:rsid w:val="007429A0"/>
    <w:rsid w:val="00752D4A"/>
    <w:rsid w:val="00755423"/>
    <w:rsid w:val="007565E5"/>
    <w:rsid w:val="00756709"/>
    <w:rsid w:val="00760BEF"/>
    <w:rsid w:val="00760D3B"/>
    <w:rsid w:val="00763C7E"/>
    <w:rsid w:val="007651ED"/>
    <w:rsid w:val="007658A7"/>
    <w:rsid w:val="00766C59"/>
    <w:rsid w:val="00766E3C"/>
    <w:rsid w:val="007705FE"/>
    <w:rsid w:val="00770A99"/>
    <w:rsid w:val="00770D65"/>
    <w:rsid w:val="0077762F"/>
    <w:rsid w:val="007812AB"/>
    <w:rsid w:val="00781AC1"/>
    <w:rsid w:val="0078254E"/>
    <w:rsid w:val="007830A8"/>
    <w:rsid w:val="00784BD2"/>
    <w:rsid w:val="00784D45"/>
    <w:rsid w:val="0078621F"/>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C7BA7"/>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51A3"/>
    <w:rsid w:val="00827382"/>
    <w:rsid w:val="008407D0"/>
    <w:rsid w:val="008415E3"/>
    <w:rsid w:val="0084225B"/>
    <w:rsid w:val="00844A0B"/>
    <w:rsid w:val="00845270"/>
    <w:rsid w:val="00846371"/>
    <w:rsid w:val="008463D1"/>
    <w:rsid w:val="0085001D"/>
    <w:rsid w:val="008516B8"/>
    <w:rsid w:val="008519C2"/>
    <w:rsid w:val="00861D13"/>
    <w:rsid w:val="00866AAE"/>
    <w:rsid w:val="008671A0"/>
    <w:rsid w:val="008739BB"/>
    <w:rsid w:val="008739FA"/>
    <w:rsid w:val="00873F81"/>
    <w:rsid w:val="00875C66"/>
    <w:rsid w:val="00880B59"/>
    <w:rsid w:val="00881740"/>
    <w:rsid w:val="00882B3D"/>
    <w:rsid w:val="008921A2"/>
    <w:rsid w:val="00892D90"/>
    <w:rsid w:val="00894829"/>
    <w:rsid w:val="008A02FA"/>
    <w:rsid w:val="008A19EF"/>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32B05"/>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3BBA"/>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4E7B"/>
    <w:rsid w:val="00A26B22"/>
    <w:rsid w:val="00A31B95"/>
    <w:rsid w:val="00A34229"/>
    <w:rsid w:val="00A37834"/>
    <w:rsid w:val="00A4127C"/>
    <w:rsid w:val="00A414D2"/>
    <w:rsid w:val="00A439DC"/>
    <w:rsid w:val="00A45127"/>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2116"/>
    <w:rsid w:val="00AB3623"/>
    <w:rsid w:val="00AB6055"/>
    <w:rsid w:val="00AB6B33"/>
    <w:rsid w:val="00AB71C2"/>
    <w:rsid w:val="00AB7BF9"/>
    <w:rsid w:val="00AC0649"/>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376A8"/>
    <w:rsid w:val="00B40679"/>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16C"/>
    <w:rsid w:val="00BA0C14"/>
    <w:rsid w:val="00BA16A0"/>
    <w:rsid w:val="00BA18CE"/>
    <w:rsid w:val="00BA3E15"/>
    <w:rsid w:val="00BA7BF7"/>
    <w:rsid w:val="00BB07AC"/>
    <w:rsid w:val="00BB2210"/>
    <w:rsid w:val="00BB27CA"/>
    <w:rsid w:val="00BB5CDB"/>
    <w:rsid w:val="00BD2822"/>
    <w:rsid w:val="00BD7535"/>
    <w:rsid w:val="00BE1862"/>
    <w:rsid w:val="00BE1914"/>
    <w:rsid w:val="00BE25F6"/>
    <w:rsid w:val="00BE6A34"/>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67BDA"/>
    <w:rsid w:val="00C732A7"/>
    <w:rsid w:val="00C75CDF"/>
    <w:rsid w:val="00C828E3"/>
    <w:rsid w:val="00C86BFB"/>
    <w:rsid w:val="00C913D5"/>
    <w:rsid w:val="00C94E92"/>
    <w:rsid w:val="00C952BA"/>
    <w:rsid w:val="00C956B0"/>
    <w:rsid w:val="00CA0DCC"/>
    <w:rsid w:val="00CA4FF8"/>
    <w:rsid w:val="00CA5F1A"/>
    <w:rsid w:val="00CA6DD5"/>
    <w:rsid w:val="00CB051D"/>
    <w:rsid w:val="00CC43AA"/>
    <w:rsid w:val="00CC536D"/>
    <w:rsid w:val="00CD092D"/>
    <w:rsid w:val="00CD1185"/>
    <w:rsid w:val="00CD5EDF"/>
    <w:rsid w:val="00CD6787"/>
    <w:rsid w:val="00CE06E0"/>
    <w:rsid w:val="00CE56CB"/>
    <w:rsid w:val="00CE7A43"/>
    <w:rsid w:val="00CF650C"/>
    <w:rsid w:val="00CF6CFE"/>
    <w:rsid w:val="00D00C27"/>
    <w:rsid w:val="00D01AC3"/>
    <w:rsid w:val="00D05EBD"/>
    <w:rsid w:val="00D10905"/>
    <w:rsid w:val="00D1311B"/>
    <w:rsid w:val="00D225B1"/>
    <w:rsid w:val="00D22EC8"/>
    <w:rsid w:val="00D241A8"/>
    <w:rsid w:val="00D25BC3"/>
    <w:rsid w:val="00D310F5"/>
    <w:rsid w:val="00D325B3"/>
    <w:rsid w:val="00D33A6A"/>
    <w:rsid w:val="00D35B9F"/>
    <w:rsid w:val="00D40ABA"/>
    <w:rsid w:val="00D44750"/>
    <w:rsid w:val="00D5043C"/>
    <w:rsid w:val="00D506C1"/>
    <w:rsid w:val="00D52C89"/>
    <w:rsid w:val="00D6011B"/>
    <w:rsid w:val="00D605A5"/>
    <w:rsid w:val="00D6105E"/>
    <w:rsid w:val="00D61E57"/>
    <w:rsid w:val="00D63DB1"/>
    <w:rsid w:val="00D649B2"/>
    <w:rsid w:val="00D66A5A"/>
    <w:rsid w:val="00D720EE"/>
    <w:rsid w:val="00D72FDC"/>
    <w:rsid w:val="00D74F3D"/>
    <w:rsid w:val="00D82E99"/>
    <w:rsid w:val="00D835D4"/>
    <w:rsid w:val="00D83EDA"/>
    <w:rsid w:val="00D92010"/>
    <w:rsid w:val="00D959F5"/>
    <w:rsid w:val="00D96D33"/>
    <w:rsid w:val="00DA29DB"/>
    <w:rsid w:val="00DA73FB"/>
    <w:rsid w:val="00DB0FC6"/>
    <w:rsid w:val="00DB2A0D"/>
    <w:rsid w:val="00DB6D4F"/>
    <w:rsid w:val="00DB774D"/>
    <w:rsid w:val="00DB786D"/>
    <w:rsid w:val="00DC0DB1"/>
    <w:rsid w:val="00DC0DB7"/>
    <w:rsid w:val="00DC2360"/>
    <w:rsid w:val="00DC2580"/>
    <w:rsid w:val="00DC3313"/>
    <w:rsid w:val="00DC3D1F"/>
    <w:rsid w:val="00DC4B5A"/>
    <w:rsid w:val="00DD0565"/>
    <w:rsid w:val="00DD1ACF"/>
    <w:rsid w:val="00DD2AEB"/>
    <w:rsid w:val="00DE02EB"/>
    <w:rsid w:val="00DE2BF9"/>
    <w:rsid w:val="00DE5146"/>
    <w:rsid w:val="00DE67AA"/>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3927"/>
    <w:rsid w:val="00E6753C"/>
    <w:rsid w:val="00E70133"/>
    <w:rsid w:val="00E701CD"/>
    <w:rsid w:val="00E76206"/>
    <w:rsid w:val="00E77ECD"/>
    <w:rsid w:val="00E845A0"/>
    <w:rsid w:val="00E867FB"/>
    <w:rsid w:val="00E93122"/>
    <w:rsid w:val="00E94646"/>
    <w:rsid w:val="00E94723"/>
    <w:rsid w:val="00E95AE9"/>
    <w:rsid w:val="00E963AE"/>
    <w:rsid w:val="00E96F6E"/>
    <w:rsid w:val="00EA64F9"/>
    <w:rsid w:val="00EA6938"/>
    <w:rsid w:val="00EB059C"/>
    <w:rsid w:val="00EB36B9"/>
    <w:rsid w:val="00EB5DB1"/>
    <w:rsid w:val="00EB5DBC"/>
    <w:rsid w:val="00EC0649"/>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40BD8"/>
    <w:rsid w:val="00F45928"/>
    <w:rsid w:val="00F45EEE"/>
    <w:rsid w:val="00F47AD0"/>
    <w:rsid w:val="00F507C3"/>
    <w:rsid w:val="00F53D69"/>
    <w:rsid w:val="00F5477B"/>
    <w:rsid w:val="00F548DA"/>
    <w:rsid w:val="00F565B4"/>
    <w:rsid w:val="00F568E8"/>
    <w:rsid w:val="00F576ED"/>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6645"/>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2C11C"/>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kruml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D4E5-9E5E-40FE-895B-611B185A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2092</Words>
  <Characters>12348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12</cp:revision>
  <cp:lastPrinted>2014-07-10T07:42:00Z</cp:lastPrinted>
  <dcterms:created xsi:type="dcterms:W3CDTF">2019-09-03T10:29:00Z</dcterms:created>
  <dcterms:modified xsi:type="dcterms:W3CDTF">2019-09-16T10:10:00Z</dcterms:modified>
</cp:coreProperties>
</file>