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F0C5464"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E1163F">
        <w:rPr>
          <w:rFonts w:asciiTheme="minorHAnsi" w:hAnsiTheme="minorHAnsi"/>
          <w:color w:val="0000FF"/>
          <w:sz w:val="22"/>
          <w:szCs w:val="22"/>
        </w:rPr>
        <w:t>250</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0997667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E32C7D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6473DD46" w:rsidR="00F255F2" w:rsidRPr="00CE1623" w:rsidRDefault="00134B7F"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31820C39" wp14:editId="66FA9DB6">
            <wp:simplePos x="0" y="0"/>
            <wp:positionH relativeFrom="page">
              <wp:posOffset>6268720</wp:posOffset>
            </wp:positionH>
            <wp:positionV relativeFrom="page">
              <wp:posOffset>1843405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0FF1756" wp14:editId="7AC15C30">
                <wp:simplePos x="0" y="0"/>
                <wp:positionH relativeFrom="column">
                  <wp:posOffset>5117465</wp:posOffset>
                </wp:positionH>
                <wp:positionV relativeFrom="page">
                  <wp:posOffset>1726565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FFFFBC8" w14:textId="77777777" w:rsidR="00134B7F" w:rsidRPr="00071F63" w:rsidRDefault="00134B7F" w:rsidP="00134B7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C6E98D73BEC498AAB16B0FB0E57503A"/>
                                </w:placeholder>
                                <w:showingPlcHdr/>
                              </w:sdtPr>
                              <w:sdtContent>
                                <w:r w:rsidRPr="00EE0691">
                                  <w:rPr>
                                    <w:rStyle w:val="Zstupntext"/>
                                    <w:rFonts w:asciiTheme="minorHAnsi" w:hAnsiTheme="minorHAnsi" w:cstheme="minorHAnsi"/>
                                    <w:b w:val="0"/>
                                  </w:rPr>
                                  <w:t>VSB/25/153238</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FF1756" id="_x0000_t202" coordsize="21600,21600" o:spt="202" path="m,l,21600r21600,l21600,xe">
                <v:stroke joinstyle="miter"/>
                <v:path gradientshapeok="t" o:connecttype="rect"/>
              </v:shapetype>
              <v:shape id="Textové pole 2" o:spid="_x0000_s1026" type="#_x0000_t202" style="position:absolute;left:0;text-align:left;margin-left:402.95pt;margin-top:135.9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" stroked="f">
                <v:textbox>
                  <w:txbxContent>
                    <w:p w14:paraId="1FFFFBC8" w14:textId="77777777" w:rsidR="00134B7F" w:rsidRPr="00071F63" w:rsidRDefault="00134B7F" w:rsidP="00134B7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C6E98D73BEC498AAB16B0FB0E57503A"/>
                          </w:placeholder>
                          <w:showingPlcHdr/>
                        </w:sdtPr>
                        <w:sdtContent>
                          <w:r w:rsidRPr="00EE0691">
                            <w:rPr>
                              <w:rStyle w:val="Zstupntext"/>
                              <w:rFonts w:asciiTheme="minorHAnsi" w:hAnsiTheme="minorHAnsi" w:cstheme="minorHAnsi"/>
                              <w:b w:val="0"/>
                            </w:rPr>
                            <w:t>VSB/25/153238</w:t>
                          </w:r>
                        </w:sdtContent>
                      </w:sdt>
                    </w:p>
                  </w:txbxContent>
                </v:textbox>
                <w10:wrap type="tight" anchory="page"/>
              </v:shape>
            </w:pict>
          </mc:Fallback>
        </mc:AlternateContent>
      </w:r>
      <w:r w:rsidR="00C9237C">
        <w:rPr>
          <w:rFonts w:asciiTheme="minorHAnsi" w:hAnsiTheme="minorHAnsi"/>
          <w:b/>
          <w:i/>
        </w:rPr>
        <w:t>Dodávka IT</w:t>
      </w:r>
      <w:r w:rsidR="0016098C" w:rsidRPr="0016098C">
        <w:rPr>
          <w:rFonts w:asciiTheme="minorHAnsi" w:hAnsiTheme="minorHAnsi"/>
          <w:b/>
          <w:i/>
        </w:rPr>
        <w:t xml:space="preserve"> techniky </w:t>
      </w:r>
      <w:r w:rsidR="00A25E45">
        <w:rPr>
          <w:rFonts w:asciiTheme="minorHAnsi" w:hAnsiTheme="minorHAnsi"/>
          <w:b/>
          <w:i/>
        </w:rPr>
        <w:t>4</w:t>
      </w:r>
      <w:r w:rsidR="00042196">
        <w:rPr>
          <w:rFonts w:asciiTheme="minorHAnsi" w:hAnsiTheme="minorHAnsi"/>
          <w:b/>
          <w:i/>
        </w:rPr>
        <w:t>3</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08B5C393"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E96F506"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ACC9" w14:textId="77777777" w:rsidR="004F7D44" w:rsidRDefault="004F7D44">
      <w:r>
        <w:separator/>
      </w:r>
    </w:p>
  </w:endnote>
  <w:endnote w:type="continuationSeparator" w:id="0">
    <w:p w14:paraId="222A7B90" w14:textId="77777777" w:rsidR="004F7D44" w:rsidRDefault="004F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977B" w14:textId="77777777" w:rsidR="004F7D44" w:rsidRDefault="004F7D44">
      <w:r>
        <w:separator/>
      </w:r>
    </w:p>
  </w:footnote>
  <w:footnote w:type="continuationSeparator" w:id="0">
    <w:p w14:paraId="3DEEEB40" w14:textId="77777777" w:rsidR="004F7D44" w:rsidRDefault="004F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7B34"/>
    <w:rsid w:val="00517E37"/>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6E98D73BEC498AAB16B0FB0E57503A"/>
        <w:category>
          <w:name w:val="Obecné"/>
          <w:gallery w:val="placeholder"/>
        </w:category>
        <w:types>
          <w:type w:val="bbPlcHdr"/>
        </w:types>
        <w:behaviors>
          <w:behavior w:val="content"/>
        </w:behaviors>
        <w:guid w:val="{F5AA8158-35E3-49DE-A661-1F392208310E}"/>
      </w:docPartPr>
      <w:docPartBody>
        <w:p w:rsidR="00000000" w:rsidRDefault="008F087D" w:rsidP="008F087D">
          <w:pPr>
            <w:pStyle w:val="2C6E98D73BEC498AAB16B0FB0E57503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33DDF"/>
    <w:rsid w:val="00465C43"/>
    <w:rsid w:val="004C4ADF"/>
    <w:rsid w:val="00505AB0"/>
    <w:rsid w:val="005425F7"/>
    <w:rsid w:val="00593D78"/>
    <w:rsid w:val="005E44AC"/>
    <w:rsid w:val="006533C6"/>
    <w:rsid w:val="006F47A5"/>
    <w:rsid w:val="00702574"/>
    <w:rsid w:val="007260C4"/>
    <w:rsid w:val="00797D68"/>
    <w:rsid w:val="007F4E33"/>
    <w:rsid w:val="007F721A"/>
    <w:rsid w:val="008322FE"/>
    <w:rsid w:val="008371C2"/>
    <w:rsid w:val="00846185"/>
    <w:rsid w:val="00853BE0"/>
    <w:rsid w:val="00881E48"/>
    <w:rsid w:val="008859F6"/>
    <w:rsid w:val="008A20B9"/>
    <w:rsid w:val="008F087D"/>
    <w:rsid w:val="00921681"/>
    <w:rsid w:val="0097393D"/>
    <w:rsid w:val="00A169FD"/>
    <w:rsid w:val="00A540A8"/>
    <w:rsid w:val="00B07EC0"/>
    <w:rsid w:val="00B23123"/>
    <w:rsid w:val="00B4368F"/>
    <w:rsid w:val="00B62201"/>
    <w:rsid w:val="00BD520C"/>
    <w:rsid w:val="00C14894"/>
    <w:rsid w:val="00D10F64"/>
    <w:rsid w:val="00D1719E"/>
    <w:rsid w:val="00D867D4"/>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087D"/>
    <w:rPr>
      <w:color w:val="808080"/>
    </w:rPr>
  </w:style>
  <w:style w:type="paragraph" w:customStyle="1" w:styleId="2C6E98D73BEC498AAB16B0FB0E57503A">
    <w:name w:val="2C6E98D73BEC498AAB16B0FB0E57503A"/>
    <w:rsid w:val="008F087D"/>
  </w:style>
  <w:style w:type="paragraph" w:customStyle="1" w:styleId="0625499A03064159832BB3ACE6098CD4">
    <w:name w:val="0625499A03064159832BB3ACE6098CD4"/>
    <w:rsid w:val="00B62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9</Pages>
  <Words>3586</Words>
  <Characters>21158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69</cp:revision>
  <cp:lastPrinted>2014-07-10T07:42:00Z</cp:lastPrinted>
  <dcterms:created xsi:type="dcterms:W3CDTF">2019-08-14T11:15:00Z</dcterms:created>
  <dcterms:modified xsi:type="dcterms:W3CDTF">2025-11-05T12:12:00Z</dcterms:modified>
</cp:coreProperties>
</file>