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687C2C7F"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757405D5" w14:textId="4816B0B0" w:rsidR="003857C8" w:rsidRPr="0060065E"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7F10B77C" w14:textId="292AEA0B" w:rsidR="003857C8" w:rsidRPr="00DA0AA1" w:rsidRDefault="005C5F26"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noProof/>
        </w:rPr>
        <w:drawing>
          <wp:anchor distT="0" distB="0" distL="114300" distR="114300" simplePos="0" relativeHeight="251658752" behindDoc="1" locked="0" layoutInCell="1" allowOverlap="0" wp14:anchorId="7657B39E" wp14:editId="6628CD12">
            <wp:simplePos x="0" y="0"/>
            <wp:positionH relativeFrom="page">
              <wp:posOffset>6100445</wp:posOffset>
            </wp:positionH>
            <wp:positionV relativeFrom="page">
              <wp:posOffset>1594485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Pr>
          <w:rFonts w:asciiTheme="minorHAnsi" w:hAnsiTheme="minorHAnsi" w:cstheme="minorHAnsi"/>
          <w:b/>
          <w:bCs/>
          <w:color w:val="000000"/>
          <w:spacing w:val="-2"/>
        </w:rPr>
        <w:t>Čisticí a úklidové prostředky</w:t>
      </w:r>
      <w:r w:rsidR="003857C8" w:rsidRPr="00DA0AA1">
        <w:rPr>
          <w:rFonts w:asciiTheme="minorHAnsi" w:hAnsiTheme="minorHAnsi" w:cstheme="minorHAnsi"/>
          <w:b/>
          <w:bCs/>
          <w:color w:val="000000"/>
          <w:spacing w:val="-2"/>
        </w:rPr>
        <w:t xml:space="preserve"> </w:t>
      </w:r>
      <w:r w:rsidR="000F2B04">
        <w:rPr>
          <w:rFonts w:asciiTheme="minorHAnsi" w:hAnsiTheme="minorHAnsi" w:cstheme="minorHAnsi"/>
          <w:b/>
          <w:bCs/>
          <w:color w:val="000000"/>
          <w:spacing w:val="-2"/>
        </w:rPr>
        <w:t>15</w:t>
      </w:r>
      <w:r w:rsidR="003857C8" w:rsidRPr="00DA0AA1">
        <w:rPr>
          <w:rFonts w:asciiTheme="minorHAnsi" w:hAnsiTheme="minorHAnsi" w:cstheme="minorHAnsi"/>
          <w:b/>
          <w:bCs/>
          <w:color w:val="000000"/>
          <w:spacing w:val="-2"/>
        </w:rPr>
        <w:t>/202</w:t>
      </w:r>
      <w:r w:rsidR="003142BC">
        <w:rPr>
          <w:rFonts w:asciiTheme="minorHAnsi" w:hAnsiTheme="minorHAnsi" w:cstheme="minorHAnsi"/>
          <w:b/>
          <w:bCs/>
          <w:color w:val="000000"/>
          <w:spacing w:val="-2"/>
        </w:rPr>
        <w:t>5</w:t>
      </w:r>
    </w:p>
    <w:p w14:paraId="3F5BFAAC" w14:textId="232D91B0" w:rsidR="003857C8" w:rsidRPr="006B2876" w:rsidRDefault="003857C8" w:rsidP="003857C8">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46AC5E3E" w14:textId="77777777" w:rsidR="003857C8" w:rsidRPr="006B2876" w:rsidRDefault="003857C8" w:rsidP="003857C8">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5DA84E7B" w14:textId="4C900F4A"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202</w:t>
      </w:r>
      <w:r w:rsidR="003142BC">
        <w:rPr>
          <w:rFonts w:asciiTheme="minorHAnsi" w:hAnsiTheme="minorHAnsi" w:cstheme="minorHAnsi"/>
          <w:b/>
          <w:spacing w:val="-1"/>
        </w:rPr>
        <w:t>5</w:t>
      </w:r>
    </w:p>
    <w:p w14:paraId="1CD7BC59" w14:textId="77777777"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p>
    <w:p w14:paraId="3D742F70" w14:textId="77777777" w:rsidR="002C6894" w:rsidRPr="00CF1212" w:rsidRDefault="002C6894" w:rsidP="00DE027A">
      <w:pPr>
        <w:spacing w:after="60"/>
        <w:rPr>
          <w:rFonts w:asciiTheme="minorHAnsi" w:hAnsiTheme="minorHAnsi" w:cstheme="minorHAnsi"/>
          <w:sz w:val="22"/>
          <w:szCs w:val="22"/>
        </w:rPr>
      </w:pPr>
      <w:proofErr w:type="gramStart"/>
      <w:r w:rsidRPr="00CF1212">
        <w:rPr>
          <w:rFonts w:asciiTheme="minorHAnsi" w:hAnsiTheme="minorHAnsi" w:cstheme="minorHAnsi"/>
          <w:sz w:val="22"/>
          <w:szCs w:val="22"/>
        </w:rPr>
        <w:t>IČ :</w:t>
      </w:r>
      <w:proofErr w:type="gramEnd"/>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77777777"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144C3E" w:rsidRPr="00CF1212">
        <w:rPr>
          <w:rFonts w:asciiTheme="minorHAnsi" w:hAnsiTheme="minorHAnsi" w:cstheme="minorHAnsi"/>
          <w:bCs/>
          <w:iCs/>
          <w:sz w:val="22"/>
          <w:szCs w:val="22"/>
        </w:rPr>
        <w:t>Eva Bajgerová</w:t>
      </w:r>
      <w:r w:rsidR="00FE5144" w:rsidRPr="00CF1212">
        <w:rPr>
          <w:rFonts w:asciiTheme="minorHAnsi" w:hAnsiTheme="minorHAnsi" w:cstheme="minorHAnsi"/>
          <w:bCs/>
          <w:iCs/>
          <w:sz w:val="22"/>
          <w:szCs w:val="22"/>
        </w:rPr>
        <w:t xml:space="preserve">, e-mail: </w:t>
      </w:r>
      <w:hyperlink r:id="rId9" w:history="1">
        <w:r w:rsidR="00144C3E" w:rsidRPr="00CF1212">
          <w:rPr>
            <w:rStyle w:val="Hypertextovodkaz"/>
            <w:rFonts w:asciiTheme="minorHAnsi" w:hAnsiTheme="minorHAnsi" w:cstheme="minorHAnsi"/>
            <w:bCs/>
            <w:iCs/>
            <w:sz w:val="22"/>
            <w:szCs w:val="22"/>
          </w:rPr>
          <w:t>eva.bajgerova@vsb.cz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w:t>
      </w:r>
      <w:proofErr w:type="gramStart"/>
      <w:r w:rsidRPr="00CF1212">
        <w:rPr>
          <w:rFonts w:asciiTheme="minorHAnsi" w:hAnsiTheme="minorHAnsi" w:cstheme="minorHAnsi"/>
          <w:sz w:val="22"/>
          <w:szCs w:val="22"/>
        </w:rPr>
        <w:t>: :</w:t>
      </w:r>
      <w:proofErr w:type="gramEnd"/>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lastRenderedPageBreak/>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7777777"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Pr="00CF1212" w:rsidRDefault="00000C8D"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lastRenderedPageBreak/>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17FF1ACB" w14:textId="32935864" w:rsidR="00996A00" w:rsidRPr="001F1666" w:rsidRDefault="00996A00" w:rsidP="00996A00">
      <w:pPr>
        <w:pStyle w:val="Zkladntext"/>
        <w:spacing w:before="120" w:after="120" w:line="276" w:lineRule="auto"/>
        <w:ind w:left="360"/>
        <w:rPr>
          <w:rFonts w:asciiTheme="minorHAnsi" w:hAnsiTheme="minorHAnsi" w:cstheme="minorHAnsi"/>
        </w:rPr>
      </w:pPr>
      <w:bookmarkStart w:id="0" w:name="_Hlk179557285"/>
      <w:r w:rsidRPr="009769F3">
        <w:rPr>
          <w:rFonts w:asciiTheme="minorHAnsi" w:hAnsiTheme="minorHAnsi" w:cstheme="minorHAnsi"/>
        </w:rPr>
        <w:t>pracoviště střediska dopravy VŠB-TUO</w:t>
      </w:r>
      <w:r>
        <w:rPr>
          <w:rFonts w:asciiTheme="minorHAnsi" w:hAnsiTheme="minorHAnsi" w:cstheme="minorHAnsi"/>
        </w:rPr>
        <w:t xml:space="preserve">, </w:t>
      </w:r>
      <w:r w:rsidRPr="009769F3">
        <w:rPr>
          <w:rFonts w:asciiTheme="minorHAnsi" w:hAnsiTheme="minorHAnsi" w:cstheme="minorHAnsi"/>
        </w:rPr>
        <w:t xml:space="preserve">Studentská 1, 708 00 Ostrava </w:t>
      </w:r>
      <w:r>
        <w:rPr>
          <w:rFonts w:asciiTheme="minorHAnsi" w:hAnsiTheme="minorHAnsi" w:cstheme="minorHAnsi"/>
        </w:rPr>
        <w:t>–</w:t>
      </w:r>
      <w:r w:rsidRPr="009769F3">
        <w:rPr>
          <w:rFonts w:asciiTheme="minorHAnsi" w:hAnsiTheme="minorHAnsi" w:cstheme="minorHAnsi"/>
        </w:rPr>
        <w:t xml:space="preserve"> Poruba</w:t>
      </w:r>
      <w:r w:rsidR="000F2B04">
        <w:rPr>
          <w:rFonts w:asciiTheme="minorHAnsi" w:hAnsiTheme="minorHAnsi" w:cstheme="minorHAnsi"/>
        </w:rPr>
        <w:t>.</w:t>
      </w:r>
    </w:p>
    <w:bookmarkEnd w:id="0"/>
    <w:p w14:paraId="21BE5E16" w14:textId="77777777" w:rsidR="00000C8D" w:rsidRPr="00CF1212" w:rsidRDefault="00000C8D" w:rsidP="00AA6EBC">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Konkrétní </w:t>
      </w:r>
      <w:r w:rsidR="00DD34F0" w:rsidRPr="00CF1212">
        <w:rPr>
          <w:rFonts w:asciiTheme="minorHAnsi" w:hAnsiTheme="minorHAnsi" w:cstheme="minorHAnsi"/>
          <w:sz w:val="22"/>
          <w:szCs w:val="22"/>
        </w:rPr>
        <w:t>čas</w:t>
      </w:r>
      <w:r w:rsidRPr="00CF1212">
        <w:rPr>
          <w:rFonts w:asciiTheme="minorHAnsi" w:hAnsiTheme="minorHAnsi" w:cstheme="minorHAnsi"/>
          <w:sz w:val="22"/>
          <w:szCs w:val="22"/>
        </w:rPr>
        <w:t xml:space="preserve"> dodání zboží bude předem dohodnut mezi prodávajícím a oprávněným zástupcem kupujícího dohodnutými komunikačními prostředky (e-mail, telefon).</w:t>
      </w:r>
    </w:p>
    <w:p w14:paraId="1F2C3C53" w14:textId="77777777" w:rsidR="00000C8D" w:rsidRPr="00CF1212" w:rsidRDefault="003A6E9B"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u w:val="single"/>
        </w:rPr>
        <w:t xml:space="preserve">Zboží bude dodáno kupujícímu spolu s předávacím protokolem v místě plnění, faktura bude zaslána kontaktní osobě kupujícího </w:t>
      </w:r>
      <w:r w:rsidR="00144C3E" w:rsidRPr="00CF1212">
        <w:rPr>
          <w:rFonts w:asciiTheme="minorHAnsi" w:hAnsiTheme="minorHAnsi" w:cstheme="minorHAnsi"/>
          <w:sz w:val="22"/>
          <w:szCs w:val="22"/>
          <w:u w:val="single"/>
        </w:rPr>
        <w:t>Evě</w:t>
      </w:r>
      <w:r w:rsidRPr="00CF1212">
        <w:rPr>
          <w:rFonts w:asciiTheme="minorHAnsi" w:hAnsiTheme="minorHAnsi" w:cstheme="minorHAnsi"/>
          <w:sz w:val="22"/>
          <w:szCs w:val="22"/>
          <w:u w:val="single"/>
        </w:rPr>
        <w:t xml:space="preserve"> </w:t>
      </w:r>
      <w:proofErr w:type="spellStart"/>
      <w:r w:rsidR="00144C3E" w:rsidRPr="00CF1212">
        <w:rPr>
          <w:rFonts w:asciiTheme="minorHAnsi" w:hAnsiTheme="minorHAnsi" w:cstheme="minorHAnsi"/>
          <w:sz w:val="22"/>
          <w:szCs w:val="22"/>
          <w:u w:val="single"/>
        </w:rPr>
        <w:t>Bajgerové</w:t>
      </w:r>
      <w:proofErr w:type="spellEnd"/>
      <w:r w:rsidRPr="00CF1212">
        <w:rPr>
          <w:rFonts w:asciiTheme="minorHAnsi" w:hAnsiTheme="minorHAnsi" w:cstheme="minorHAnsi"/>
          <w:sz w:val="22"/>
          <w:szCs w:val="22"/>
          <w:u w:val="single"/>
        </w:rPr>
        <w:t xml:space="preserve"> v elektronické podobě na e-mail: </w:t>
      </w:r>
      <w:r w:rsidR="00144C3E" w:rsidRPr="00CF1212">
        <w:rPr>
          <w:rFonts w:asciiTheme="minorHAnsi" w:hAnsiTheme="minorHAnsi" w:cstheme="minorHAnsi"/>
          <w:sz w:val="22"/>
          <w:szCs w:val="22"/>
          <w:u w:val="single"/>
        </w:rPr>
        <w:t>eva</w:t>
      </w:r>
      <w:r w:rsidRPr="00CF1212">
        <w:rPr>
          <w:rFonts w:asciiTheme="minorHAnsi" w:hAnsiTheme="minorHAnsi" w:cstheme="minorHAnsi"/>
          <w:sz w:val="22"/>
          <w:szCs w:val="22"/>
          <w:u w:val="single"/>
        </w:rPr>
        <w:t>.</w:t>
      </w:r>
      <w:r w:rsidR="00144C3E" w:rsidRPr="00CF1212">
        <w:rPr>
          <w:rFonts w:asciiTheme="minorHAnsi" w:hAnsiTheme="minorHAnsi" w:cstheme="minorHAnsi"/>
          <w:sz w:val="22"/>
          <w:szCs w:val="22"/>
          <w:u w:val="single"/>
        </w:rPr>
        <w:t>bajgerova</w:t>
      </w:r>
      <w:r w:rsidRPr="00CF1212">
        <w:rPr>
          <w:rFonts w:asciiTheme="minorHAnsi" w:hAnsiTheme="minorHAnsi" w:cstheme="minorHAnsi"/>
          <w:sz w:val="22"/>
          <w:szCs w:val="22"/>
          <w:u w:val="single"/>
        </w:rPr>
        <w:t>@vsb.cz</w:t>
      </w:r>
      <w:r w:rsidRPr="00CF1212">
        <w:rPr>
          <w:rFonts w:asciiTheme="minorHAnsi" w:hAnsiTheme="minorHAnsi" w:cstheme="minorHAnsi"/>
          <w:sz w:val="22"/>
          <w:szCs w:val="22"/>
        </w:rPr>
        <w:t xml:space="preserve">, v opačném případě je kupující oprávněn postupovat v souladu s ustanovením článku II., </w:t>
      </w:r>
      <w:proofErr w:type="spellStart"/>
      <w:r w:rsidRPr="00CF1212">
        <w:rPr>
          <w:rFonts w:asciiTheme="minorHAnsi" w:hAnsiTheme="minorHAnsi" w:cstheme="minorHAnsi"/>
          <w:sz w:val="22"/>
          <w:szCs w:val="22"/>
        </w:rPr>
        <w:t>odst</w:t>
      </w:r>
      <w:proofErr w:type="spellEnd"/>
      <w:r w:rsidRPr="00CF1212">
        <w:rPr>
          <w:rFonts w:asciiTheme="minorHAnsi" w:hAnsiTheme="minorHAnsi" w:cstheme="minorHAnsi"/>
          <w:sz w:val="22"/>
          <w:szCs w:val="22"/>
        </w:rPr>
        <w:t xml:space="preserve"> 3. této smlouvy a zboží nepřevzít. Zboží je prodávající oprávněn fakturovat pouze v souladu s příslušným předávacím protokolem. </w:t>
      </w:r>
      <w:r w:rsidR="00000C8D" w:rsidRPr="00CF1212">
        <w:rPr>
          <w:rFonts w:asciiTheme="minorHAnsi" w:hAnsiTheme="minorHAnsi" w:cstheme="minorHAnsi"/>
          <w:sz w:val="22"/>
          <w:szCs w:val="22"/>
        </w:rPr>
        <w:t xml:space="preserve">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w:t>
      </w:r>
      <w:proofErr w:type="gramStart"/>
      <w:r w:rsidRPr="00CF1212">
        <w:rPr>
          <w:rFonts w:asciiTheme="minorHAnsi" w:hAnsiTheme="minorHAnsi" w:cstheme="minorHAnsi"/>
          <w:sz w:val="22"/>
          <w:szCs w:val="22"/>
        </w:rPr>
        <w:t xml:space="preserve">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proofErr w:type="gramEnd"/>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w:t>
      </w:r>
      <w:proofErr w:type="gramStart"/>
      <w:r w:rsidRPr="00CF1212">
        <w:rPr>
          <w:rFonts w:asciiTheme="minorHAnsi" w:hAnsiTheme="minorHAnsi" w:cstheme="minorHAnsi"/>
          <w:sz w:val="22"/>
          <w:szCs w:val="22"/>
        </w:rPr>
        <w:t>21%</w:t>
      </w:r>
      <w:proofErr w:type="gramEnd"/>
      <w:r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w:t>
      </w:r>
      <w:proofErr w:type="gramStart"/>
      <w:r w:rsidRPr="00CF1212">
        <w:rPr>
          <w:rFonts w:asciiTheme="minorHAnsi" w:hAnsiTheme="minorHAnsi" w:cstheme="minorHAnsi"/>
          <w:sz w:val="22"/>
          <w:szCs w:val="22"/>
        </w:rPr>
        <w:t xml:space="preserve">DPH:   </w:t>
      </w:r>
      <w:proofErr w:type="gramEnd"/>
      <w:r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proofErr w:type="gramStart"/>
      <w:r w:rsidRPr="00CF1212">
        <w:rPr>
          <w:rFonts w:asciiTheme="minorHAnsi" w:hAnsiTheme="minorHAnsi" w:cstheme="minorHAnsi"/>
          <w:sz w:val="22"/>
          <w:szCs w:val="22"/>
          <w:highlight w:val="yellow"/>
        </w:rPr>
        <w:t>…….</w:t>
      </w:r>
      <w:proofErr w:type="gramEnd"/>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w:t>
      </w:r>
      <w:proofErr w:type="gramStart"/>
      <w:r w:rsidRPr="00CF1212">
        <w:rPr>
          <w:rFonts w:asciiTheme="minorHAnsi" w:hAnsiTheme="minorHAnsi" w:cstheme="minorHAnsi"/>
          <w:sz w:val="22"/>
          <w:szCs w:val="22"/>
        </w:rPr>
        <w:t>zvlášť  DPH</w:t>
      </w:r>
      <w:proofErr w:type="gramEnd"/>
      <w:r w:rsidRPr="00CF1212">
        <w:rPr>
          <w:rFonts w:asciiTheme="minorHAnsi" w:hAnsiTheme="minorHAnsi" w:cstheme="minorHAnsi"/>
          <w:sz w:val="22"/>
          <w:szCs w:val="22"/>
        </w:rPr>
        <w:t xml:space="preserve">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77777777"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0,5 %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CF1212">
        <w:rPr>
          <w:rFonts w:asciiTheme="minorHAnsi" w:hAnsiTheme="minorHAnsi" w:cstheme="minorHAnsi"/>
          <w:sz w:val="22"/>
          <w:szCs w:val="22"/>
        </w:rPr>
        <w:t>zakázky</w:t>
      </w:r>
      <w:proofErr w:type="gramEnd"/>
      <w:r w:rsidRPr="00CF1212">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Pr="00CF1212" w:rsidRDefault="00000C8D"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proofErr w:type="gramStart"/>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w:t>
      </w:r>
      <w:proofErr w:type="gramEnd"/>
      <w:r w:rsidRPr="00CF1212">
        <w:rPr>
          <w:rFonts w:asciiTheme="minorHAnsi" w:hAnsiTheme="minorHAnsi" w:cstheme="minorHAnsi"/>
          <w:sz w:val="22"/>
          <w:szCs w:val="22"/>
        </w:rPr>
        <w:t xml:space="preserve">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F811" w14:textId="77777777" w:rsidR="009344D8" w:rsidRDefault="009344D8" w:rsidP="00335E35">
      <w:r>
        <w:separator/>
      </w:r>
    </w:p>
  </w:endnote>
  <w:endnote w:type="continuationSeparator" w:id="0">
    <w:p w14:paraId="5D6B5336" w14:textId="77777777" w:rsidR="009344D8" w:rsidRDefault="009344D8"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0C4B" w14:textId="77777777" w:rsidR="009344D8" w:rsidRDefault="009344D8" w:rsidP="00335E35">
      <w:r>
        <w:separator/>
      </w:r>
    </w:p>
  </w:footnote>
  <w:footnote w:type="continuationSeparator" w:id="0">
    <w:p w14:paraId="189D1DBD" w14:textId="77777777" w:rsidR="009344D8" w:rsidRDefault="009344D8"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68C213BC" w:rsidR="00107367" w:rsidRPr="00107367" w:rsidRDefault="00000000">
    <w:pPr>
      <w:pStyle w:val="Zhlav"/>
      <w:rPr>
        <w:lang w:val="cs-CZ"/>
      </w:rPr>
    </w:pPr>
    <w:sdt>
      <w:sdtPr>
        <w:rPr>
          <w:rFonts w:asciiTheme="minorHAnsi" w:hAnsiTheme="minorHAnsi" w:cstheme="minorHAnsi"/>
          <w:b/>
        </w:rPr>
        <w:alias w:val="číslo jednací"/>
        <w:tag w:val="espis_objektsps/evidencni_cislo"/>
        <w:id w:val="496931924"/>
        <w:placeholder>
          <w:docPart w:val="C032E48F71C14AFDAF86844BFAF5094A"/>
        </w:placeholder>
      </w:sdtPr>
      <w:sdtContent>
        <w:r w:rsidR="00183105" w:rsidRPr="008F2C1E">
          <w:rPr>
            <w:rFonts w:asciiTheme="minorHAnsi" w:hAnsiTheme="minorHAnsi" w:cstheme="minorHAnsi"/>
          </w:rPr>
          <w:t>č.j.:</w:t>
        </w:r>
        <w:r w:rsidR="00183105">
          <w:rPr>
            <w:rFonts w:ascii="Arial" w:hAnsi="Arial" w:cs="Arial"/>
          </w:rPr>
          <w:t xml:space="preserve"> </w:t>
        </w:r>
        <w:sdt>
          <w:sdtPr>
            <w:rPr>
              <w:rFonts w:asciiTheme="minorHAnsi" w:hAnsiTheme="minorHAnsi" w:cstheme="minorHAnsi"/>
              <w:b/>
            </w:rPr>
            <w:alias w:val="číslo jednací"/>
            <w:tag w:val="espis_objektsps/evidencni_cislo"/>
            <w:id w:val="2045478848"/>
            <w:placeholder>
              <w:docPart w:val="A32FB319AF6D4B42AF9C60DB5B11FE94"/>
            </w:placeholder>
          </w:sdtPr>
          <w:sdtContent>
            <w:sdt>
              <w:sdtPr>
                <w:rPr>
                  <w:rFonts w:asciiTheme="minorHAnsi" w:hAnsiTheme="minorHAnsi" w:cstheme="minorHAnsi"/>
                  <w:b/>
                </w:rPr>
                <w:alias w:val="číslo jednací"/>
                <w:tag w:val="espis_objektsps/evidencni_cislo"/>
                <w:id w:val="-341402726"/>
                <w:placeholder>
                  <w:docPart w:val="9CF2B9869B9C414C907427362E15BA6A"/>
                </w:placeholder>
                <w:showingPlcHdr/>
              </w:sdtPr>
              <w:sdtContent>
                <w:r w:rsidR="00860295" w:rsidRPr="00EE0691">
                  <w:rPr>
                    <w:rStyle w:val="Zstupntext"/>
                    <w:rFonts w:asciiTheme="minorHAnsi" w:hAnsiTheme="minorHAnsi" w:cstheme="minorHAnsi"/>
                    <w:color w:val="auto"/>
                  </w:rPr>
                  <w:t>VSB/25/146669</w:t>
                </w:r>
              </w:sdtContent>
            </w:sdt>
          </w:sdtContent>
        </w:sdt>
        <w:r w:rsidR="00183105">
          <w:rPr>
            <w:rFonts w:asciiTheme="minorHAnsi" w:hAnsiTheme="minorHAnsi" w:cstheme="minorHAnsi"/>
            <w:b/>
          </w:rPr>
          <w:t xml:space="preserve"> </w:t>
        </w:r>
      </w:sdtContent>
    </w:sdt>
    <w:r w:rsidR="00107367">
      <w:rPr>
        <w:lang w:val="cs-CZ"/>
      </w:rPr>
      <w:tab/>
    </w:r>
    <w:r w:rsidR="007D5225">
      <w:rPr>
        <w:lang w:val="cs-CZ"/>
      </w:rPr>
      <w:tab/>
    </w:r>
    <w:r w:rsidR="00E401F6" w:rsidRPr="00E32F28">
      <w:rPr>
        <w:i/>
        <w:lang w:val="cs-CZ"/>
      </w:rPr>
      <w:t>S</w:t>
    </w:r>
    <w:r w:rsidR="000F2B04">
      <w:rPr>
        <w:i/>
        <w:lang w:val="cs-CZ"/>
      </w:rPr>
      <w:t>237</w:t>
    </w:r>
    <w:r w:rsidR="00314C43" w:rsidRPr="00E32F28">
      <w:rPr>
        <w:i/>
        <w:lang w:val="cs-CZ"/>
      </w:rPr>
      <w:t>/</w:t>
    </w:r>
    <w:r w:rsidR="00F2410F" w:rsidRPr="00E32F28">
      <w:rPr>
        <w:i/>
        <w:lang w:val="cs-CZ"/>
      </w:rPr>
      <w:t>2</w:t>
    </w:r>
    <w:r w:rsidR="00435EE5">
      <w:rPr>
        <w:i/>
        <w:lang w:val="cs-CZ"/>
      </w:rPr>
      <w:t>5</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10450"/>
    <w:rsid w:val="000109DB"/>
    <w:rsid w:val="00011A7A"/>
    <w:rsid w:val="00014186"/>
    <w:rsid w:val="000149DF"/>
    <w:rsid w:val="000217E5"/>
    <w:rsid w:val="00023F40"/>
    <w:rsid w:val="000312B2"/>
    <w:rsid w:val="00035824"/>
    <w:rsid w:val="0003763A"/>
    <w:rsid w:val="00037CF3"/>
    <w:rsid w:val="000501D1"/>
    <w:rsid w:val="0005166D"/>
    <w:rsid w:val="000538A7"/>
    <w:rsid w:val="00057FEE"/>
    <w:rsid w:val="000717FF"/>
    <w:rsid w:val="00071A81"/>
    <w:rsid w:val="00076D14"/>
    <w:rsid w:val="00080AA5"/>
    <w:rsid w:val="00087183"/>
    <w:rsid w:val="000A532A"/>
    <w:rsid w:val="000A54E2"/>
    <w:rsid w:val="000A5DAA"/>
    <w:rsid w:val="000A792A"/>
    <w:rsid w:val="000B4625"/>
    <w:rsid w:val="000C180A"/>
    <w:rsid w:val="000C46AA"/>
    <w:rsid w:val="000C5109"/>
    <w:rsid w:val="000D06E2"/>
    <w:rsid w:val="000D18CF"/>
    <w:rsid w:val="000D1963"/>
    <w:rsid w:val="000F2B04"/>
    <w:rsid w:val="000F2FD4"/>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50D8"/>
    <w:rsid w:val="00155486"/>
    <w:rsid w:val="00157F5D"/>
    <w:rsid w:val="00164895"/>
    <w:rsid w:val="00174B6D"/>
    <w:rsid w:val="0017501D"/>
    <w:rsid w:val="00175F16"/>
    <w:rsid w:val="00175FF2"/>
    <w:rsid w:val="00177676"/>
    <w:rsid w:val="00183105"/>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6654"/>
    <w:rsid w:val="00241DBB"/>
    <w:rsid w:val="00250E8B"/>
    <w:rsid w:val="0025622A"/>
    <w:rsid w:val="0026176F"/>
    <w:rsid w:val="00261B1C"/>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80400"/>
    <w:rsid w:val="00382A06"/>
    <w:rsid w:val="003857C8"/>
    <w:rsid w:val="00387530"/>
    <w:rsid w:val="0039171E"/>
    <w:rsid w:val="003A03C4"/>
    <w:rsid w:val="003A6E9B"/>
    <w:rsid w:val="003A7262"/>
    <w:rsid w:val="003C1C2F"/>
    <w:rsid w:val="003C38B5"/>
    <w:rsid w:val="003D11E1"/>
    <w:rsid w:val="003D69F5"/>
    <w:rsid w:val="003E0466"/>
    <w:rsid w:val="003E295A"/>
    <w:rsid w:val="003E2B56"/>
    <w:rsid w:val="003E7510"/>
    <w:rsid w:val="003F5B41"/>
    <w:rsid w:val="00404309"/>
    <w:rsid w:val="00404A34"/>
    <w:rsid w:val="00421756"/>
    <w:rsid w:val="00423F82"/>
    <w:rsid w:val="00424A0D"/>
    <w:rsid w:val="00430B33"/>
    <w:rsid w:val="00435EE5"/>
    <w:rsid w:val="00436692"/>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06717"/>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90123"/>
    <w:rsid w:val="005918F6"/>
    <w:rsid w:val="005A516C"/>
    <w:rsid w:val="005B0508"/>
    <w:rsid w:val="005C3587"/>
    <w:rsid w:val="005C5F26"/>
    <w:rsid w:val="005D22D7"/>
    <w:rsid w:val="005D495D"/>
    <w:rsid w:val="005E0C95"/>
    <w:rsid w:val="005E7194"/>
    <w:rsid w:val="005E7F86"/>
    <w:rsid w:val="00602AC5"/>
    <w:rsid w:val="0060341E"/>
    <w:rsid w:val="00607B6F"/>
    <w:rsid w:val="00610AF9"/>
    <w:rsid w:val="00610D99"/>
    <w:rsid w:val="006119B2"/>
    <w:rsid w:val="00615E42"/>
    <w:rsid w:val="00620A6F"/>
    <w:rsid w:val="0062266C"/>
    <w:rsid w:val="00622BDA"/>
    <w:rsid w:val="00626415"/>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4E6D"/>
    <w:rsid w:val="006E6E41"/>
    <w:rsid w:val="006F6F60"/>
    <w:rsid w:val="00700E2D"/>
    <w:rsid w:val="00703B04"/>
    <w:rsid w:val="00711C43"/>
    <w:rsid w:val="0071260F"/>
    <w:rsid w:val="0071764E"/>
    <w:rsid w:val="0072602D"/>
    <w:rsid w:val="00726F1B"/>
    <w:rsid w:val="0073008C"/>
    <w:rsid w:val="00736219"/>
    <w:rsid w:val="007369B1"/>
    <w:rsid w:val="0073787A"/>
    <w:rsid w:val="00740BC6"/>
    <w:rsid w:val="0074232B"/>
    <w:rsid w:val="007447F7"/>
    <w:rsid w:val="0074574F"/>
    <w:rsid w:val="00764866"/>
    <w:rsid w:val="00773DCC"/>
    <w:rsid w:val="0077681E"/>
    <w:rsid w:val="00795EE3"/>
    <w:rsid w:val="007A47F3"/>
    <w:rsid w:val="007A526E"/>
    <w:rsid w:val="007B72A3"/>
    <w:rsid w:val="007C414F"/>
    <w:rsid w:val="007C75B9"/>
    <w:rsid w:val="007D18C9"/>
    <w:rsid w:val="007D1CE3"/>
    <w:rsid w:val="007D5225"/>
    <w:rsid w:val="007D5D05"/>
    <w:rsid w:val="007E06C5"/>
    <w:rsid w:val="007E274E"/>
    <w:rsid w:val="007E2B04"/>
    <w:rsid w:val="007F0380"/>
    <w:rsid w:val="007F5AA8"/>
    <w:rsid w:val="008069EB"/>
    <w:rsid w:val="0082389E"/>
    <w:rsid w:val="00824FC0"/>
    <w:rsid w:val="00826DDA"/>
    <w:rsid w:val="00841FD5"/>
    <w:rsid w:val="00846F7D"/>
    <w:rsid w:val="008479F1"/>
    <w:rsid w:val="00854D2B"/>
    <w:rsid w:val="00860295"/>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5968"/>
    <w:rsid w:val="008F1EC5"/>
    <w:rsid w:val="008F2D3D"/>
    <w:rsid w:val="008F4FDD"/>
    <w:rsid w:val="008F5775"/>
    <w:rsid w:val="008F6EB1"/>
    <w:rsid w:val="0092144F"/>
    <w:rsid w:val="009227F3"/>
    <w:rsid w:val="00923125"/>
    <w:rsid w:val="00925408"/>
    <w:rsid w:val="0092702D"/>
    <w:rsid w:val="00930774"/>
    <w:rsid w:val="00933C97"/>
    <w:rsid w:val="009344D8"/>
    <w:rsid w:val="00940592"/>
    <w:rsid w:val="00952C76"/>
    <w:rsid w:val="00956BC5"/>
    <w:rsid w:val="00961A79"/>
    <w:rsid w:val="00961D25"/>
    <w:rsid w:val="00964E81"/>
    <w:rsid w:val="00967012"/>
    <w:rsid w:val="009708B5"/>
    <w:rsid w:val="00971C0F"/>
    <w:rsid w:val="00982313"/>
    <w:rsid w:val="00986F13"/>
    <w:rsid w:val="00996A00"/>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60965"/>
    <w:rsid w:val="00B64ADA"/>
    <w:rsid w:val="00B72A11"/>
    <w:rsid w:val="00B92788"/>
    <w:rsid w:val="00BA5641"/>
    <w:rsid w:val="00BA6750"/>
    <w:rsid w:val="00BB43D9"/>
    <w:rsid w:val="00BC692A"/>
    <w:rsid w:val="00BE0A75"/>
    <w:rsid w:val="00BE7072"/>
    <w:rsid w:val="00BF6600"/>
    <w:rsid w:val="00C0599B"/>
    <w:rsid w:val="00C1218F"/>
    <w:rsid w:val="00C12C51"/>
    <w:rsid w:val="00C13735"/>
    <w:rsid w:val="00C1415D"/>
    <w:rsid w:val="00C22257"/>
    <w:rsid w:val="00C32487"/>
    <w:rsid w:val="00C364AF"/>
    <w:rsid w:val="00C50FDC"/>
    <w:rsid w:val="00C54D92"/>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90892"/>
    <w:rsid w:val="00E9312D"/>
    <w:rsid w:val="00EA62F7"/>
    <w:rsid w:val="00EA7E06"/>
    <w:rsid w:val="00EB78DB"/>
    <w:rsid w:val="00EC1F11"/>
    <w:rsid w:val="00EC2561"/>
    <w:rsid w:val="00ED03F0"/>
    <w:rsid w:val="00ED7342"/>
    <w:rsid w:val="00EE587D"/>
    <w:rsid w:val="00EF1B69"/>
    <w:rsid w:val="00F06504"/>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82828"/>
    <w:rsid w:val="00F90D8F"/>
    <w:rsid w:val="00F93C10"/>
    <w:rsid w:val="00FB1BE8"/>
    <w:rsid w:val="00FB2676"/>
    <w:rsid w:val="00FB34BF"/>
    <w:rsid w:val="00FB61CB"/>
    <w:rsid w:val="00FC3CB0"/>
    <w:rsid w:val="00FD62A8"/>
    <w:rsid w:val="00FE24CC"/>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character" w:styleId="Zstupntext">
    <w:name w:val="Placeholder Text"/>
    <w:basedOn w:val="Standardnpsmoodstavce"/>
    <w:uiPriority w:val="99"/>
    <w:semiHidden/>
    <w:rsid w:val="00C54D92"/>
    <w:rPr>
      <w:color w:val="808080"/>
    </w:rPr>
  </w:style>
  <w:style w:type="paragraph" w:customStyle="1" w:styleId="slo">
    <w:name w:val="Číslo"/>
    <w:basedOn w:val="Normln"/>
    <w:next w:val="Datum"/>
    <w:rsid w:val="00183105"/>
    <w:pPr>
      <w:keepNext/>
      <w:tabs>
        <w:tab w:val="left" w:pos="1418"/>
      </w:tabs>
      <w:spacing w:before="720" w:line="300" w:lineRule="exact"/>
      <w:ind w:left="1418"/>
    </w:pPr>
    <w:rPr>
      <w:rFonts w:ascii="Bookman Old Style" w:hAnsi="Bookman Old Style"/>
      <w:b/>
      <w:sz w:val="20"/>
      <w:szCs w:val="20"/>
    </w:rPr>
  </w:style>
  <w:style w:type="paragraph" w:styleId="Datum">
    <w:name w:val="Date"/>
    <w:basedOn w:val="Normln"/>
    <w:next w:val="Normln"/>
    <w:link w:val="DatumChar"/>
    <w:uiPriority w:val="99"/>
    <w:semiHidden/>
    <w:unhideWhenUsed/>
    <w:rsid w:val="00183105"/>
  </w:style>
  <w:style w:type="character" w:customStyle="1" w:styleId="DatumChar">
    <w:name w:val="Datum Char"/>
    <w:basedOn w:val="Standardnpsmoodstavce"/>
    <w:link w:val="Datum"/>
    <w:uiPriority w:val="99"/>
    <w:semiHidden/>
    <w:rsid w:val="001831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32E48F71C14AFDAF86844BFAF5094A"/>
        <w:category>
          <w:name w:val="Obecné"/>
          <w:gallery w:val="placeholder"/>
        </w:category>
        <w:types>
          <w:type w:val="bbPlcHdr"/>
        </w:types>
        <w:behaviors>
          <w:behavior w:val="content"/>
        </w:behaviors>
        <w:guid w:val="{5F775A5E-0088-49EA-9BEC-1B36C2F2C295}"/>
      </w:docPartPr>
      <w:docPartBody>
        <w:p w:rsidR="00430348" w:rsidRDefault="00430348" w:rsidP="00430348">
          <w:pPr>
            <w:pStyle w:val="C032E48F71C14AFDAF86844BFAF5094A"/>
          </w:pPr>
          <w:r w:rsidRPr="00071F63">
            <w:rPr>
              <w:rStyle w:val="Zstupntext"/>
              <w:rFonts w:ascii="Arial" w:hAnsi="Arial" w:cs="Arial"/>
            </w:rPr>
            <w:t>Č.j. z E-spis</w:t>
          </w:r>
        </w:p>
      </w:docPartBody>
    </w:docPart>
    <w:docPart>
      <w:docPartPr>
        <w:name w:val="A32FB319AF6D4B42AF9C60DB5B11FE94"/>
        <w:category>
          <w:name w:val="Obecné"/>
          <w:gallery w:val="placeholder"/>
        </w:category>
        <w:types>
          <w:type w:val="bbPlcHdr"/>
        </w:types>
        <w:behaviors>
          <w:behavior w:val="content"/>
        </w:behaviors>
        <w:guid w:val="{A632761B-5E8A-4EAD-9A36-5A478C2C8E05}"/>
      </w:docPartPr>
      <w:docPartBody>
        <w:p w:rsidR="00430348" w:rsidRDefault="00430348" w:rsidP="00430348">
          <w:pPr>
            <w:pStyle w:val="A32FB319AF6D4B42AF9C60DB5B11FE94"/>
          </w:pPr>
          <w:r w:rsidRPr="00071F63">
            <w:rPr>
              <w:rStyle w:val="Zstupntext"/>
              <w:rFonts w:ascii="Arial" w:hAnsi="Arial" w:cs="Arial"/>
            </w:rPr>
            <w:t>Č.j. z E-spis</w:t>
          </w:r>
        </w:p>
      </w:docPartBody>
    </w:docPart>
    <w:docPart>
      <w:docPartPr>
        <w:name w:val="9CF2B9869B9C414C907427362E15BA6A"/>
        <w:category>
          <w:name w:val="Obecné"/>
          <w:gallery w:val="placeholder"/>
        </w:category>
        <w:types>
          <w:type w:val="bbPlcHdr"/>
        </w:types>
        <w:behaviors>
          <w:behavior w:val="content"/>
        </w:behaviors>
        <w:guid w:val="{46C493A8-7EC0-47DD-A5EC-8F810B379E83}"/>
      </w:docPartPr>
      <w:docPartBody>
        <w:p w:rsidR="00000000" w:rsidRDefault="0089696E" w:rsidP="0089696E">
          <w:pPr>
            <w:pStyle w:val="9CF2B9869B9C414C907427362E15BA6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48"/>
    <w:rsid w:val="00430348"/>
    <w:rsid w:val="007C414F"/>
    <w:rsid w:val="007F1BF6"/>
    <w:rsid w:val="0089696E"/>
    <w:rsid w:val="00F06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696E"/>
    <w:rPr>
      <w:color w:val="808080"/>
    </w:rPr>
  </w:style>
  <w:style w:type="paragraph" w:customStyle="1" w:styleId="C032E48F71C14AFDAF86844BFAF5094A">
    <w:name w:val="C032E48F71C14AFDAF86844BFAF5094A"/>
    <w:rsid w:val="00430348"/>
  </w:style>
  <w:style w:type="paragraph" w:customStyle="1" w:styleId="A32FB319AF6D4B42AF9C60DB5B11FE94">
    <w:name w:val="A32FB319AF6D4B42AF9C60DB5B11FE94"/>
    <w:rsid w:val="00430348"/>
  </w:style>
  <w:style w:type="paragraph" w:customStyle="1" w:styleId="9CF2B9869B9C414C907427362E15BA6A">
    <w:name w:val="9CF2B9869B9C414C907427362E15BA6A"/>
    <w:rsid w:val="00896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1934</Words>
  <Characters>11412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13320</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125</cp:revision>
  <cp:lastPrinted>2022-02-03T18:20:00Z</cp:lastPrinted>
  <dcterms:created xsi:type="dcterms:W3CDTF">2017-02-07T09:04:00Z</dcterms:created>
  <dcterms:modified xsi:type="dcterms:W3CDTF">2025-10-20T11:49:00Z</dcterms:modified>
</cp:coreProperties>
</file>