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bCs/>
          <w:sz w:val="24"/>
          <w:szCs w:val="20"/>
          <w:lang w:val="en-GB"/>
        </w:rPr>
        <w:t xml:space="preserve">Technical Specification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CBD1168" w:rsidR="00A038C8" w:rsidRPr="00A07C18" w:rsidRDefault="00605B62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  <w:lang w:val="en-GB"/>
        </w:rPr>
        <w:t>3D printer with Selective Laser Melting technology</w:t>
      </w:r>
    </w:p>
    <w:p w14:paraId="25687AD4" w14:textId="77777777" w:rsidR="004D275A" w:rsidRPr="00F3517C" w:rsidRDefault="00A038C8" w:rsidP="004D275A">
      <w:pPr>
        <w:pStyle w:val="ZD2rove"/>
        <w:keepLines/>
        <w:tabs>
          <w:tab w:val="clear" w:pos="660"/>
        </w:tabs>
        <w:rPr>
          <w:szCs w:val="20"/>
        </w:rPr>
      </w:pPr>
      <w:r>
        <w:rPr>
          <w:szCs w:val="20"/>
          <w:lang w:val="en-GB"/>
        </w:rPr>
        <w:t xml:space="preserve">The subject of the public contract is the delivery of 1 unit of a 3D printer with Selective Laser Melting (SLM) technology, including SW and accessories. </w:t>
      </w:r>
    </w:p>
    <w:p w14:paraId="74F7A09F" w14:textId="1FEAEEC5" w:rsidR="00A038C8" w:rsidRPr="00F3517C" w:rsidRDefault="004D275A" w:rsidP="003541C5">
      <w:p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The performance also includes transport to the place of performance, installation, commissioning including testing of functionality</w:t>
      </w:r>
      <w:r w:rsidR="005C0DA0">
        <w:rPr>
          <w:rFonts w:ascii="Tahoma" w:hAnsi="Tahoma" w:cs="Tahoma"/>
          <w:sz w:val="20"/>
          <w:szCs w:val="20"/>
          <w:lang w:val="en-GB"/>
        </w:rPr>
        <w:t xml:space="preserve"> and operators and programmers</w:t>
      </w:r>
      <w:r w:rsidR="002A6357" w:rsidRPr="002A6357">
        <w:rPr>
          <w:rFonts w:ascii="Tahoma" w:hAnsi="Tahoma" w:cs="Tahoma"/>
          <w:sz w:val="20"/>
          <w:szCs w:val="20"/>
          <w:lang w:val="en-GB"/>
        </w:rPr>
        <w:t xml:space="preserve"> </w:t>
      </w:r>
      <w:r w:rsidR="002A6357">
        <w:rPr>
          <w:rFonts w:ascii="Tahoma" w:hAnsi="Tahoma" w:cs="Tahoma"/>
          <w:sz w:val="20"/>
          <w:szCs w:val="20"/>
          <w:lang w:val="en-GB"/>
        </w:rPr>
        <w:t>training</w:t>
      </w:r>
      <w:r w:rsidR="005C0DA0">
        <w:rPr>
          <w:rFonts w:ascii="Tahoma" w:hAnsi="Tahoma" w:cs="Tahoma"/>
          <w:sz w:val="20"/>
          <w:szCs w:val="20"/>
          <w:lang w:val="en-GB"/>
        </w:rPr>
        <w:t>. The performance also</w:t>
      </w:r>
      <w:r w:rsidR="005C0DA0" w:rsidRPr="005C0DA0">
        <w:rPr>
          <w:rFonts w:ascii="Tahoma" w:hAnsi="Tahoma" w:cs="Tahoma"/>
          <w:sz w:val="20"/>
          <w:szCs w:val="20"/>
          <w:lang w:val="en-GB"/>
        </w:rPr>
        <w:t xml:space="preserve"> </w:t>
      </w:r>
      <w:r w:rsidR="005C0DA0">
        <w:rPr>
          <w:rFonts w:ascii="Tahoma" w:hAnsi="Tahoma" w:cs="Tahoma"/>
          <w:sz w:val="20"/>
          <w:szCs w:val="20"/>
          <w:lang w:val="en-GB"/>
        </w:rPr>
        <w:t>includes service</w:t>
      </w:r>
      <w:r w:rsidR="00A12174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support and maintenance of the 3D printer for a period of 2 years from the receipt of the goods by </w:t>
      </w:r>
      <w:r w:rsidR="009578D3">
        <w:rPr>
          <w:rFonts w:ascii="Tahoma" w:hAnsi="Tahoma" w:cs="Tahoma"/>
          <w:sz w:val="20"/>
          <w:szCs w:val="20"/>
          <w:lang w:val="en-GB"/>
        </w:rPr>
        <w:br/>
      </w:r>
      <w:r>
        <w:rPr>
          <w:rFonts w:ascii="Tahoma" w:hAnsi="Tahoma" w:cs="Tahoma"/>
          <w:sz w:val="20"/>
          <w:szCs w:val="20"/>
          <w:lang w:val="en-GB"/>
        </w:rPr>
        <w:t xml:space="preserve">the </w:t>
      </w:r>
      <w:r w:rsidR="008B515A">
        <w:rPr>
          <w:rFonts w:ascii="Tahoma" w:hAnsi="Tahoma" w:cs="Tahoma"/>
          <w:sz w:val="20"/>
          <w:szCs w:val="20"/>
          <w:lang w:val="en-GB"/>
        </w:rPr>
        <w:t>Contracting Authority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14:paraId="5AD9FD1B" w14:textId="301415D8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3D printer manufacturer: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14:paraId="77CFCCB2" w14:textId="1F44CB9A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Exact type designation of the 3D printer: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Number of pieces: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b/>
          <w:bCs/>
          <w:sz w:val="20"/>
          <w:szCs w:val="20"/>
          <w:lang w:val="en-GB"/>
        </w:rPr>
        <w:t>1</w:t>
      </w:r>
    </w:p>
    <w:p w14:paraId="3902EFC2" w14:textId="42C57524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The 3D printer with Selective Laser Melting technology must have at least the following components and must fulfil at least the following parameters: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Basic technical parameters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1"/>
                <w:sz w:val="20"/>
                <w:szCs w:val="20"/>
                <w:lang w:val="en-GB"/>
              </w:rPr>
              <w:t>Minimum required values - must be met!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Value of the offered equipment</w:t>
            </w:r>
          </w:p>
        </w:tc>
      </w:tr>
      <w:tr w:rsidR="00035EB5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110D8CF5" w:rsidR="00035EB5" w:rsidRPr="00770658" w:rsidRDefault="00035EB5" w:rsidP="0012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Powder Bed Fusion Selective Laser Melting additive technology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035EB5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4FE54940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state of the starting material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4D1851B4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metal powder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035EB5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2A380992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compact closed design of the device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05655152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B830B9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5B0FF71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number of lasers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3AE2626A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42542F60" w:rsidR="00B830B9" w:rsidRPr="00DA5F06" w:rsidRDefault="003A31CB" w:rsidP="00B83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B830B9" w:rsidRPr="001E5139" w14:paraId="77E39156" w14:textId="13EA4B31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19E64A70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variable laser beam diameter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5194923" w:rsidR="00B830B9" w:rsidRPr="00770658" w:rsidRDefault="00B830B9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B830B9" w:rsidRPr="00DA5F06" w:rsidRDefault="00B830B9" w:rsidP="00B83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2A76D674" w14:textId="4C80928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617A31A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range of beam focus diameters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A02517E" w:rsidR="003E7377" w:rsidRPr="00770658" w:rsidRDefault="007955C3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80-140 µm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1C106B37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 (note: range from - to µm)</w:t>
            </w:r>
          </w:p>
        </w:tc>
      </w:tr>
      <w:tr w:rsidR="003E7377" w:rsidRPr="001E5139" w14:paraId="61409C71" w14:textId="195D7AF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1AEA568C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print chamber reduction frame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430D17C5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46E4F485" w14:textId="00EC55EA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51B3D5AB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substrates for the reduced chamber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54834BE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565C6A9E" w14:textId="112CF073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4560A156" w:rsidR="003E7377" w:rsidRPr="00770658" w:rsidRDefault="005A2C58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laser output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7AEDA785" w:rsidR="003E7377" w:rsidRPr="00770658" w:rsidRDefault="005A2C58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700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BE1EB03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67D6E287" w14:textId="7A9AC3D5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1B02545B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type of laser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1B65C14C" w:rsidR="003E7377" w:rsidRPr="00770658" w:rsidRDefault="00303564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Fiber laser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4EE72A28" w14:textId="79F3832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75F6CD77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volume of </w:t>
            </w:r>
            <w:r w:rsidR="003F2D87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chamber size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[</w:t>
            </w:r>
            <w:r w:rsidRPr="003541C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mm</w:t>
            </w:r>
            <w:r>
              <w:rPr>
                <w:rFonts w:ascii="Tahoma" w:hAnsi="Tahoma" w:cs="Tahoma"/>
                <w:color w:val="000000"/>
                <w:sz w:val="20"/>
                <w:szCs w:val="20"/>
                <w:vertAlign w:val="superscript"/>
                <w:lang w:val="en-GB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72005BF6" w:rsidR="003E7377" w:rsidRPr="007415B6" w:rsidRDefault="00873B74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12,000,000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4A6BEC84" w:rsidR="003E7377" w:rsidRPr="00DA5F06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B34DFA" w:rsidRPr="001E5139" w14:paraId="33C2E48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AC77" w14:textId="4642490F" w:rsidR="00B34DFA" w:rsidRPr="00770658" w:rsidRDefault="000B2966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lastRenderedPageBreak/>
              <w:t xml:space="preserve">basic software </w:t>
            </w:r>
            <w:r w:rsidR="00EC6555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(SW)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for setup and process control, including provision of licenses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D78" w14:textId="35736906" w:rsidR="00B34DFA" w:rsidRPr="00770658" w:rsidRDefault="00B223AA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F13" w14:textId="153FDEB0" w:rsidR="00B34DFA" w:rsidRPr="00297990" w:rsidRDefault="00B223AA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40F9DE77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SW for traffic monitoring, including provision of licenses for min. 2 years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35C9ADB2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57D3899E" w:rsidR="003E7377" w:rsidRPr="00770658" w:rsidRDefault="009721D1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SW updates and technical support for 2 years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2F681E9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7603F717" w14:textId="3FDC82C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486AA04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process parameters for materials supplied by the manufacturer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11110FC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4767784B" w14:textId="030EEDAF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1822" w14:textId="56982B3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open access to process parameters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0CFA155E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6558D250" w14:textId="7B2FFC9E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41F1" w14:textId="38444953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accessories for powder management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A6BF" w14:textId="404DD3E1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2BC165E3" w14:textId="1903D1F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FB1B" w14:textId="04C63FED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unit for sieving powders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B6F" w14:textId="3E9CC65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5C51DFBC" w14:textId="6ED7F08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062" w14:textId="7D94CA70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processable materials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062F" w14:textId="0D98876E" w:rsidR="003E7377" w:rsidRPr="00770658" w:rsidRDefault="00D95B5D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Ti64, 316L, AlSi10Mg, Cu, MS300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60ADC7B2" w:rsidR="003E7377" w:rsidRPr="00DA5F06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7A26AA0C" w14:textId="26025CE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FAF" w14:textId="23FC5DD6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set of accessories for powder material handling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B60C" w14:textId="6B84829E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6</w:t>
            </w:r>
            <w:r w:rsidR="00BE325D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sets of accessories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58F9F907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44FC51D7" w14:textId="0DB5BDC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5D2" w14:textId="5868A73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sieve for sieving powder with a particle size of 63 µm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AB2" w14:textId="41E2DCB7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3DDCCEEB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4F4236DD" w14:textId="3C940A90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C98F" w14:textId="373A311F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sieve for sieving powder with a particle size of 90 µm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6FB5" w14:textId="4E7B4788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69E1C7CB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3804F7A7" w14:textId="7C0EF1B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164" w14:textId="6A73FB0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accessories for powder applicators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228" w14:textId="7E7143F4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3E7377" w:rsidRPr="00DA5F06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4F21ECC3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58A5" w14:textId="5A48EBBD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crane conveyor for substrate handling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8A83" w14:textId="3A88947E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6B88" w14:textId="728619E6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54800F81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FC47" w14:textId="24B56FA8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set for changing the material of the sieving device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0955" w14:textId="5F893740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DE0A" w14:textId="5103B662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2E29A8F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BB73" w14:textId="24D59391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set for changing the material of the transport device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2163" w14:textId="308AD9B9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C16A" w14:textId="07C6B969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3E7377" w:rsidRPr="001E5139" w14:paraId="3C40E3DE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1EE7" w14:textId="59CF62F3" w:rsidR="003E7377" w:rsidRPr="00770658" w:rsidRDefault="003E7377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spare filters for operation for min. 2 years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725E" w14:textId="0413EED4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29BD" w14:textId="247B2A8F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4D7577D5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F6D8" w14:textId="4FBF96BB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extension module 1: extension with preheating up to 200 °C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6921" w14:textId="1222560D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D45B" w14:textId="3B0D07BC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535BF384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5BB0" w14:textId="515B58C1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extension module 2: extension with preheating up to 500 °C with reduction frame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3A2A" w14:textId="5BC6527A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530" w14:textId="71BF5340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55DBE56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F3C4" w14:textId="7EAE3744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extension module 3: extension with preheating up to 500 °C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7F71" w14:textId="3AE57B9F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F8B4" w14:textId="7B534E8B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3E7377" w:rsidRPr="001E5139" w14:paraId="01473086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38BA" w14:textId="44E3DE14" w:rsidR="003E7377" w:rsidRPr="00770658" w:rsidRDefault="008B2636" w:rsidP="003E7377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extension module 4: extension with cooling for copper and conductive materials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1095" w14:textId="554CF235" w:rsidR="003E7377" w:rsidRPr="00770658" w:rsidRDefault="003E7377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1C3D" w14:textId="461C9C32" w:rsidR="003E7377" w:rsidRPr="00297990" w:rsidRDefault="00AA0CFE" w:rsidP="003E73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174244" w:rsidRPr="001E5139" w14:paraId="0ED437CA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45EE" w14:textId="5F13A148" w:rsidR="00174244" w:rsidRPr="00770658" w:rsidRDefault="00174244" w:rsidP="0017424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GB"/>
              </w:rPr>
              <w:t>basic accessories and materials for commissioning and operator training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90E2" w14:textId="17F1E6C2" w:rsidR="00174244" w:rsidRPr="00770658" w:rsidRDefault="00174244" w:rsidP="001742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E447" w14:textId="362E5DD8" w:rsidR="00174244" w:rsidRPr="00297990" w:rsidRDefault="00174244" w:rsidP="001742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432AA0" w:rsidRPr="001E5139" w14:paraId="104E45DA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63A6" w14:textId="6BF5F6D9" w:rsidR="00432AA0" w:rsidRDefault="00432AA0" w:rsidP="00432AA0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GB"/>
              </w:rPr>
              <w:t>starter set of 316L printing material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C2F9" w14:textId="5A7DD20C" w:rsidR="00432AA0" w:rsidRDefault="00D95B5D" w:rsidP="00432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min. 100 kg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CB68" w14:textId="218CFB12" w:rsidR="00432AA0" w:rsidRPr="00297990" w:rsidRDefault="00432AA0" w:rsidP="00432AA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  <w:lang w:val="en-GB"/>
        </w:rPr>
        <w:t>The data shall be completed by the tenderer in accordance with the technical data of the offered device.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2D9C" w14:textId="77777777" w:rsidR="00BD0FBF" w:rsidRDefault="00BD0FBF">
      <w:pPr>
        <w:spacing w:after="0" w:line="240" w:lineRule="auto"/>
      </w:pPr>
      <w:r>
        <w:separator/>
      </w:r>
    </w:p>
  </w:endnote>
  <w:endnote w:type="continuationSeparator" w:id="0">
    <w:p w14:paraId="095E2E2E" w14:textId="77777777" w:rsidR="00BD0FBF" w:rsidRDefault="00BD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40ABDFCF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>
      <w:rPr>
        <w:rFonts w:ascii="Tahoma" w:hAnsi="Tahoma" w:cs="Tahoma"/>
        <w:lang w:val="en-GB"/>
      </w:rPr>
      <w:t xml:space="preserve">Page </w:t>
    </w:r>
    <w:r>
      <w:rPr>
        <w:rStyle w:val="slostrnky"/>
        <w:rFonts w:ascii="Tahoma" w:hAnsi="Tahoma" w:cs="Tahoma"/>
        <w:lang w:val="en-GB"/>
      </w:rPr>
      <w:fldChar w:fldCharType="begin"/>
    </w:r>
    <w:r>
      <w:rPr>
        <w:rStyle w:val="slostrnky"/>
        <w:rFonts w:ascii="Tahoma" w:hAnsi="Tahoma" w:cs="Tahoma"/>
        <w:lang w:val="en-GB"/>
      </w:rPr>
      <w:instrText xml:space="preserve"> PAGE </w:instrText>
    </w:r>
    <w:r>
      <w:rPr>
        <w:rStyle w:val="slostrnky"/>
        <w:rFonts w:ascii="Tahoma" w:hAnsi="Tahoma" w:cs="Tahoma"/>
        <w:lang w:val="en-GB"/>
      </w:rPr>
      <w:fldChar w:fldCharType="separate"/>
    </w:r>
    <w:r>
      <w:rPr>
        <w:rStyle w:val="slostrnky"/>
        <w:rFonts w:ascii="Tahoma" w:hAnsi="Tahoma" w:cs="Tahoma"/>
        <w:noProof/>
        <w:lang w:val="en-GB"/>
      </w:rPr>
      <w:t>2</w:t>
    </w:r>
    <w:r>
      <w:rPr>
        <w:rStyle w:val="slostrnky"/>
        <w:rFonts w:ascii="Tahoma" w:hAnsi="Tahoma" w:cs="Tahoma"/>
        <w:lang w:val="en-GB"/>
      </w:rPr>
      <w:fldChar w:fldCharType="end"/>
    </w:r>
    <w:r>
      <w:rPr>
        <w:rStyle w:val="slostrnky"/>
        <w:rFonts w:ascii="Tahoma" w:hAnsi="Tahoma" w:cs="Tahoma"/>
        <w:lang w:val="en-GB"/>
      </w:rPr>
      <w:t xml:space="preserve"> / </w:t>
    </w:r>
    <w:r>
      <w:rPr>
        <w:rFonts w:ascii="Tahoma" w:hAnsi="Tahoma" w:cs="Tahoma"/>
        <w:lang w:val="en-GB"/>
      </w:rPr>
      <w:fldChar w:fldCharType="begin"/>
    </w:r>
    <w:r>
      <w:rPr>
        <w:rFonts w:ascii="Tahoma" w:hAnsi="Tahoma" w:cs="Tahoma"/>
        <w:lang w:val="en-GB"/>
      </w:rPr>
      <w:instrText xml:space="preserve"> SECTIONPAGES  \* Arabic  \* MERGEFORMAT </w:instrText>
    </w:r>
    <w:r>
      <w:rPr>
        <w:rFonts w:ascii="Tahoma" w:hAnsi="Tahoma" w:cs="Tahoma"/>
        <w:lang w:val="en-GB"/>
      </w:rPr>
      <w:fldChar w:fldCharType="separate"/>
    </w:r>
    <w:r w:rsidR="00FA39CB">
      <w:rPr>
        <w:rFonts w:ascii="Tahoma" w:hAnsi="Tahoma" w:cs="Tahoma"/>
        <w:noProof/>
        <w:lang w:val="en-GB"/>
      </w:rPr>
      <w:t>2</w:t>
    </w:r>
    <w:r>
      <w:rPr>
        <w:rFonts w:ascii="Tahoma" w:hAnsi="Tahoma" w:cs="Tahoma"/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703" w14:textId="77777777" w:rsidR="00BD0FBF" w:rsidRDefault="00BD0FBF">
      <w:pPr>
        <w:spacing w:after="0" w:line="240" w:lineRule="auto"/>
      </w:pPr>
      <w:r>
        <w:separator/>
      </w:r>
    </w:p>
  </w:footnote>
  <w:footnote w:type="continuationSeparator" w:id="0">
    <w:p w14:paraId="046ED653" w14:textId="77777777" w:rsidR="00BD0FBF" w:rsidRDefault="00BD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60E" w14:textId="4607F96A" w:rsidR="00244F83" w:rsidRDefault="00244F83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56A071C" w14:textId="022EF86C" w:rsidR="00565D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6CAD0B" wp14:editId="614D0BD3">
          <wp:simplePos x="0" y="0"/>
          <wp:positionH relativeFrom="margin">
            <wp:align>center</wp:align>
          </wp:positionH>
          <wp:positionV relativeFrom="paragraph">
            <wp:posOffset>125730</wp:posOffset>
          </wp:positionV>
          <wp:extent cx="4739570" cy="625929"/>
          <wp:effectExtent l="0" t="0" r="0" b="3175"/>
          <wp:wrapTight wrapText="bothSides">
            <wp:wrapPolygon edited="0">
              <wp:start x="0" y="658"/>
              <wp:lineTo x="0" y="21052"/>
              <wp:lineTo x="11114" y="21052"/>
              <wp:lineTo x="20057" y="19736"/>
              <wp:lineTo x="20231" y="13157"/>
              <wp:lineTo x="21447" y="11842"/>
              <wp:lineTo x="21447" y="2631"/>
              <wp:lineTo x="11114" y="658"/>
              <wp:lineTo x="0" y="658"/>
            </wp:wrapPolygon>
          </wp:wrapTight>
          <wp:docPr id="1814438485" name="Obrázek 1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38485" name="Obrázek 1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9570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B6E07" w14:textId="417A9B07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3611726" w14:textId="7C139A4E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9F1F3F0" w14:textId="161D6EC3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F134BF6" w14:textId="77777777" w:rsidR="008346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BFA72D7" w14:textId="4974C0B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>
      <w:rPr>
        <w:rFonts w:ascii="Tahoma" w:hAnsi="Tahoma" w:cs="Tahoma"/>
        <w:b w:val="0"/>
        <w:bCs w:val="0"/>
        <w:sz w:val="20"/>
        <w:szCs w:val="20"/>
        <w:lang w:val="en-GB"/>
      </w:rPr>
      <w:t xml:space="preserve">Annex 1 - Technical Specifications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9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20"/>
  </w:num>
  <w:num w:numId="15" w16cid:durableId="1252084798">
    <w:abstractNumId w:val="22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1"/>
  </w:num>
  <w:num w:numId="19" w16cid:durableId="1441993230">
    <w:abstractNumId w:val="17"/>
  </w:num>
  <w:num w:numId="20" w16cid:durableId="810291353">
    <w:abstractNumId w:val="11"/>
  </w:num>
  <w:num w:numId="21" w16cid:durableId="1009067707">
    <w:abstractNumId w:val="18"/>
  </w:num>
  <w:num w:numId="22" w16cid:durableId="218564958">
    <w:abstractNumId w:val="16"/>
  </w:num>
  <w:num w:numId="23" w16cid:durableId="540048831">
    <w:abstractNumId w:val="3"/>
  </w:num>
  <w:num w:numId="24" w16cid:durableId="1724016742">
    <w:abstractNumId w:val="13"/>
  </w:num>
  <w:num w:numId="25" w16cid:durableId="12439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35EB5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B2966"/>
    <w:rsid w:val="000B7D81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24B2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55A1"/>
    <w:rsid w:val="00133502"/>
    <w:rsid w:val="00134F83"/>
    <w:rsid w:val="00135212"/>
    <w:rsid w:val="001354DC"/>
    <w:rsid w:val="00140D64"/>
    <w:rsid w:val="00146920"/>
    <w:rsid w:val="00147120"/>
    <w:rsid w:val="001472B0"/>
    <w:rsid w:val="001528AE"/>
    <w:rsid w:val="00157316"/>
    <w:rsid w:val="00163EE7"/>
    <w:rsid w:val="00165418"/>
    <w:rsid w:val="00171709"/>
    <w:rsid w:val="00174244"/>
    <w:rsid w:val="00174D58"/>
    <w:rsid w:val="00180C86"/>
    <w:rsid w:val="00185346"/>
    <w:rsid w:val="00185B4B"/>
    <w:rsid w:val="00190703"/>
    <w:rsid w:val="0019434D"/>
    <w:rsid w:val="001A314C"/>
    <w:rsid w:val="001A3C9F"/>
    <w:rsid w:val="001A488E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C5BEB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40E6"/>
    <w:rsid w:val="00244F83"/>
    <w:rsid w:val="00246439"/>
    <w:rsid w:val="002512AF"/>
    <w:rsid w:val="00252FF7"/>
    <w:rsid w:val="00255FA8"/>
    <w:rsid w:val="00256E1E"/>
    <w:rsid w:val="00256F94"/>
    <w:rsid w:val="00265843"/>
    <w:rsid w:val="002710A1"/>
    <w:rsid w:val="002710D7"/>
    <w:rsid w:val="002778B3"/>
    <w:rsid w:val="002830EC"/>
    <w:rsid w:val="0028321D"/>
    <w:rsid w:val="002875DC"/>
    <w:rsid w:val="002916CB"/>
    <w:rsid w:val="00291D58"/>
    <w:rsid w:val="00297990"/>
    <w:rsid w:val="00297B0A"/>
    <w:rsid w:val="002A6357"/>
    <w:rsid w:val="002B0440"/>
    <w:rsid w:val="002B287F"/>
    <w:rsid w:val="002B4381"/>
    <w:rsid w:val="002B68F3"/>
    <w:rsid w:val="002C2D6A"/>
    <w:rsid w:val="002D1943"/>
    <w:rsid w:val="002D25ED"/>
    <w:rsid w:val="002D469E"/>
    <w:rsid w:val="002D516C"/>
    <w:rsid w:val="002E018B"/>
    <w:rsid w:val="002E09C2"/>
    <w:rsid w:val="002E434B"/>
    <w:rsid w:val="002E57A5"/>
    <w:rsid w:val="002F22BE"/>
    <w:rsid w:val="002F7F46"/>
    <w:rsid w:val="00303564"/>
    <w:rsid w:val="00310EAF"/>
    <w:rsid w:val="00316A01"/>
    <w:rsid w:val="003173E2"/>
    <w:rsid w:val="00317A83"/>
    <w:rsid w:val="003216E1"/>
    <w:rsid w:val="00322459"/>
    <w:rsid w:val="00323673"/>
    <w:rsid w:val="00323B0E"/>
    <w:rsid w:val="00327004"/>
    <w:rsid w:val="0033518E"/>
    <w:rsid w:val="003444C1"/>
    <w:rsid w:val="003541C5"/>
    <w:rsid w:val="003561B0"/>
    <w:rsid w:val="00357CAD"/>
    <w:rsid w:val="003629CC"/>
    <w:rsid w:val="00365C92"/>
    <w:rsid w:val="003705E8"/>
    <w:rsid w:val="003714A0"/>
    <w:rsid w:val="00375C7E"/>
    <w:rsid w:val="00375CE9"/>
    <w:rsid w:val="00375F4A"/>
    <w:rsid w:val="00386716"/>
    <w:rsid w:val="00393773"/>
    <w:rsid w:val="003A22FB"/>
    <w:rsid w:val="003A31CB"/>
    <w:rsid w:val="003A4127"/>
    <w:rsid w:val="003B1678"/>
    <w:rsid w:val="003B3DBD"/>
    <w:rsid w:val="003B77DC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E7377"/>
    <w:rsid w:val="003F2D87"/>
    <w:rsid w:val="003F331C"/>
    <w:rsid w:val="003F3D53"/>
    <w:rsid w:val="003F6D03"/>
    <w:rsid w:val="004027E0"/>
    <w:rsid w:val="00407887"/>
    <w:rsid w:val="00413CFE"/>
    <w:rsid w:val="00430D1F"/>
    <w:rsid w:val="004323C5"/>
    <w:rsid w:val="00432AA0"/>
    <w:rsid w:val="00434752"/>
    <w:rsid w:val="0044518D"/>
    <w:rsid w:val="00445B2E"/>
    <w:rsid w:val="004468E8"/>
    <w:rsid w:val="0045152C"/>
    <w:rsid w:val="00453B1A"/>
    <w:rsid w:val="004545BA"/>
    <w:rsid w:val="004672B7"/>
    <w:rsid w:val="00471701"/>
    <w:rsid w:val="004740EE"/>
    <w:rsid w:val="00474372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D275A"/>
    <w:rsid w:val="004D2FF8"/>
    <w:rsid w:val="004E2956"/>
    <w:rsid w:val="004E2E52"/>
    <w:rsid w:val="004E3492"/>
    <w:rsid w:val="004E52FB"/>
    <w:rsid w:val="004F104B"/>
    <w:rsid w:val="004F4915"/>
    <w:rsid w:val="005024F3"/>
    <w:rsid w:val="0050518C"/>
    <w:rsid w:val="00505823"/>
    <w:rsid w:val="00507722"/>
    <w:rsid w:val="00513E0C"/>
    <w:rsid w:val="005175A4"/>
    <w:rsid w:val="00517D85"/>
    <w:rsid w:val="00520483"/>
    <w:rsid w:val="00523BF2"/>
    <w:rsid w:val="005241EA"/>
    <w:rsid w:val="00526F82"/>
    <w:rsid w:val="0052702E"/>
    <w:rsid w:val="00527F22"/>
    <w:rsid w:val="00540639"/>
    <w:rsid w:val="005408A7"/>
    <w:rsid w:val="0054235B"/>
    <w:rsid w:val="00552C49"/>
    <w:rsid w:val="00553B3A"/>
    <w:rsid w:val="00555BB9"/>
    <w:rsid w:val="00555E92"/>
    <w:rsid w:val="00557C1E"/>
    <w:rsid w:val="0056006E"/>
    <w:rsid w:val="00562585"/>
    <w:rsid w:val="00565D08"/>
    <w:rsid w:val="00567607"/>
    <w:rsid w:val="00576713"/>
    <w:rsid w:val="00577190"/>
    <w:rsid w:val="005771B2"/>
    <w:rsid w:val="00581502"/>
    <w:rsid w:val="005830A3"/>
    <w:rsid w:val="00590386"/>
    <w:rsid w:val="00590745"/>
    <w:rsid w:val="00590FB6"/>
    <w:rsid w:val="005A0493"/>
    <w:rsid w:val="005A2C58"/>
    <w:rsid w:val="005B0F9B"/>
    <w:rsid w:val="005B18D8"/>
    <w:rsid w:val="005B356C"/>
    <w:rsid w:val="005B7B73"/>
    <w:rsid w:val="005C0DA0"/>
    <w:rsid w:val="005C1BB1"/>
    <w:rsid w:val="005C1F94"/>
    <w:rsid w:val="005C2290"/>
    <w:rsid w:val="005C2611"/>
    <w:rsid w:val="005C3D1B"/>
    <w:rsid w:val="005C4404"/>
    <w:rsid w:val="005C4704"/>
    <w:rsid w:val="005C62DE"/>
    <w:rsid w:val="005C669F"/>
    <w:rsid w:val="005C6D17"/>
    <w:rsid w:val="005D1113"/>
    <w:rsid w:val="005E3369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5B62"/>
    <w:rsid w:val="006066B1"/>
    <w:rsid w:val="00610B08"/>
    <w:rsid w:val="006117DE"/>
    <w:rsid w:val="006161B0"/>
    <w:rsid w:val="006175EE"/>
    <w:rsid w:val="00622C73"/>
    <w:rsid w:val="00623EEF"/>
    <w:rsid w:val="00625F4E"/>
    <w:rsid w:val="00626CB3"/>
    <w:rsid w:val="006278BE"/>
    <w:rsid w:val="00630961"/>
    <w:rsid w:val="0063213E"/>
    <w:rsid w:val="00633FAC"/>
    <w:rsid w:val="00634F90"/>
    <w:rsid w:val="00635E53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4A3"/>
    <w:rsid w:val="00663E2E"/>
    <w:rsid w:val="00665DB3"/>
    <w:rsid w:val="00672A5E"/>
    <w:rsid w:val="00673AEB"/>
    <w:rsid w:val="00675B40"/>
    <w:rsid w:val="00676731"/>
    <w:rsid w:val="00677598"/>
    <w:rsid w:val="006802C8"/>
    <w:rsid w:val="006810C5"/>
    <w:rsid w:val="0069068F"/>
    <w:rsid w:val="00692806"/>
    <w:rsid w:val="00693604"/>
    <w:rsid w:val="006A62B5"/>
    <w:rsid w:val="006A6B31"/>
    <w:rsid w:val="006B078D"/>
    <w:rsid w:val="006B712E"/>
    <w:rsid w:val="006C4F0B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5E4"/>
    <w:rsid w:val="00713A28"/>
    <w:rsid w:val="00715CF3"/>
    <w:rsid w:val="0071672E"/>
    <w:rsid w:val="0072235F"/>
    <w:rsid w:val="007238E5"/>
    <w:rsid w:val="007257EE"/>
    <w:rsid w:val="00726F26"/>
    <w:rsid w:val="00727408"/>
    <w:rsid w:val="00736FBA"/>
    <w:rsid w:val="00737B8A"/>
    <w:rsid w:val="00740A5A"/>
    <w:rsid w:val="007415B6"/>
    <w:rsid w:val="00751D5C"/>
    <w:rsid w:val="007542CA"/>
    <w:rsid w:val="00754D81"/>
    <w:rsid w:val="00754FC4"/>
    <w:rsid w:val="00755904"/>
    <w:rsid w:val="007562E5"/>
    <w:rsid w:val="00762A25"/>
    <w:rsid w:val="007670FF"/>
    <w:rsid w:val="00767FD8"/>
    <w:rsid w:val="0077065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55C3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C5A83"/>
    <w:rsid w:val="007D39A7"/>
    <w:rsid w:val="007D452A"/>
    <w:rsid w:val="007E06D2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0E9B"/>
    <w:rsid w:val="00822085"/>
    <w:rsid w:val="00822DBF"/>
    <w:rsid w:val="00834608"/>
    <w:rsid w:val="00837229"/>
    <w:rsid w:val="008377B8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3AB8"/>
    <w:rsid w:val="00873B74"/>
    <w:rsid w:val="00875633"/>
    <w:rsid w:val="008807AD"/>
    <w:rsid w:val="008812F0"/>
    <w:rsid w:val="00882967"/>
    <w:rsid w:val="00886C8C"/>
    <w:rsid w:val="008872AE"/>
    <w:rsid w:val="00890360"/>
    <w:rsid w:val="00891327"/>
    <w:rsid w:val="00892DDE"/>
    <w:rsid w:val="008A6E45"/>
    <w:rsid w:val="008B2636"/>
    <w:rsid w:val="008B2ED7"/>
    <w:rsid w:val="008B515A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2E99"/>
    <w:rsid w:val="008F71C2"/>
    <w:rsid w:val="00905B34"/>
    <w:rsid w:val="00907E32"/>
    <w:rsid w:val="009104C4"/>
    <w:rsid w:val="0091058D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578D3"/>
    <w:rsid w:val="00962850"/>
    <w:rsid w:val="00962898"/>
    <w:rsid w:val="0096366A"/>
    <w:rsid w:val="00965451"/>
    <w:rsid w:val="0096606E"/>
    <w:rsid w:val="0097069F"/>
    <w:rsid w:val="009721D1"/>
    <w:rsid w:val="0098475A"/>
    <w:rsid w:val="00993F0B"/>
    <w:rsid w:val="0099481C"/>
    <w:rsid w:val="009969EF"/>
    <w:rsid w:val="00997DF7"/>
    <w:rsid w:val="009A3551"/>
    <w:rsid w:val="009A47D6"/>
    <w:rsid w:val="009B1852"/>
    <w:rsid w:val="009B3765"/>
    <w:rsid w:val="009B6559"/>
    <w:rsid w:val="009C3950"/>
    <w:rsid w:val="009C681C"/>
    <w:rsid w:val="009D00E0"/>
    <w:rsid w:val="009D2E67"/>
    <w:rsid w:val="009D5389"/>
    <w:rsid w:val="009D6D02"/>
    <w:rsid w:val="009E1ABD"/>
    <w:rsid w:val="009E72E6"/>
    <w:rsid w:val="009F7CC7"/>
    <w:rsid w:val="00A038C8"/>
    <w:rsid w:val="00A04FA8"/>
    <w:rsid w:val="00A05076"/>
    <w:rsid w:val="00A07C18"/>
    <w:rsid w:val="00A12174"/>
    <w:rsid w:val="00A122E4"/>
    <w:rsid w:val="00A165D6"/>
    <w:rsid w:val="00A1758C"/>
    <w:rsid w:val="00A209A2"/>
    <w:rsid w:val="00A21B8A"/>
    <w:rsid w:val="00A2337E"/>
    <w:rsid w:val="00A32A47"/>
    <w:rsid w:val="00A35B26"/>
    <w:rsid w:val="00A40A61"/>
    <w:rsid w:val="00A55B7C"/>
    <w:rsid w:val="00A6126E"/>
    <w:rsid w:val="00A613F2"/>
    <w:rsid w:val="00A6661B"/>
    <w:rsid w:val="00A71D0B"/>
    <w:rsid w:val="00A71D77"/>
    <w:rsid w:val="00A75EC3"/>
    <w:rsid w:val="00A771D6"/>
    <w:rsid w:val="00A77B8B"/>
    <w:rsid w:val="00A801E0"/>
    <w:rsid w:val="00A82267"/>
    <w:rsid w:val="00A82A62"/>
    <w:rsid w:val="00A845F7"/>
    <w:rsid w:val="00A84BA6"/>
    <w:rsid w:val="00A86E1B"/>
    <w:rsid w:val="00A9008A"/>
    <w:rsid w:val="00A92CD8"/>
    <w:rsid w:val="00A9473B"/>
    <w:rsid w:val="00AA0899"/>
    <w:rsid w:val="00AA0CFE"/>
    <w:rsid w:val="00AA2476"/>
    <w:rsid w:val="00AA3B14"/>
    <w:rsid w:val="00AA74E3"/>
    <w:rsid w:val="00AB1A92"/>
    <w:rsid w:val="00AB4FA9"/>
    <w:rsid w:val="00AB5BA3"/>
    <w:rsid w:val="00AD1674"/>
    <w:rsid w:val="00AD542F"/>
    <w:rsid w:val="00AD5B61"/>
    <w:rsid w:val="00AD650A"/>
    <w:rsid w:val="00AE0B29"/>
    <w:rsid w:val="00AE4018"/>
    <w:rsid w:val="00AE5ED5"/>
    <w:rsid w:val="00AE6A2C"/>
    <w:rsid w:val="00AF2362"/>
    <w:rsid w:val="00AF2ECB"/>
    <w:rsid w:val="00B022DF"/>
    <w:rsid w:val="00B03AF4"/>
    <w:rsid w:val="00B063F8"/>
    <w:rsid w:val="00B07178"/>
    <w:rsid w:val="00B11ED0"/>
    <w:rsid w:val="00B133DD"/>
    <w:rsid w:val="00B15A09"/>
    <w:rsid w:val="00B175D3"/>
    <w:rsid w:val="00B220E1"/>
    <w:rsid w:val="00B223AA"/>
    <w:rsid w:val="00B23222"/>
    <w:rsid w:val="00B23893"/>
    <w:rsid w:val="00B31526"/>
    <w:rsid w:val="00B323CB"/>
    <w:rsid w:val="00B34DFA"/>
    <w:rsid w:val="00B40274"/>
    <w:rsid w:val="00B43FBA"/>
    <w:rsid w:val="00B51369"/>
    <w:rsid w:val="00B51D4A"/>
    <w:rsid w:val="00B535D6"/>
    <w:rsid w:val="00B542FA"/>
    <w:rsid w:val="00B62CBB"/>
    <w:rsid w:val="00B66829"/>
    <w:rsid w:val="00B66A96"/>
    <w:rsid w:val="00B704F6"/>
    <w:rsid w:val="00B71876"/>
    <w:rsid w:val="00B72DEE"/>
    <w:rsid w:val="00B73FFE"/>
    <w:rsid w:val="00B74303"/>
    <w:rsid w:val="00B74355"/>
    <w:rsid w:val="00B74F5D"/>
    <w:rsid w:val="00B756B5"/>
    <w:rsid w:val="00B82F1E"/>
    <w:rsid w:val="00B830B9"/>
    <w:rsid w:val="00B838D4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009A"/>
    <w:rsid w:val="00BC4E3D"/>
    <w:rsid w:val="00BC571A"/>
    <w:rsid w:val="00BD0FBF"/>
    <w:rsid w:val="00BD6A58"/>
    <w:rsid w:val="00BD79EF"/>
    <w:rsid w:val="00BD7BFA"/>
    <w:rsid w:val="00BE2754"/>
    <w:rsid w:val="00BE325D"/>
    <w:rsid w:val="00BE4749"/>
    <w:rsid w:val="00BE627D"/>
    <w:rsid w:val="00BE6B2A"/>
    <w:rsid w:val="00BE7EBD"/>
    <w:rsid w:val="00BF0A9E"/>
    <w:rsid w:val="00BF104E"/>
    <w:rsid w:val="00BF1EC3"/>
    <w:rsid w:val="00BF32E6"/>
    <w:rsid w:val="00BF4808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22999"/>
    <w:rsid w:val="00C303D2"/>
    <w:rsid w:val="00C31F95"/>
    <w:rsid w:val="00C32442"/>
    <w:rsid w:val="00C3277E"/>
    <w:rsid w:val="00C502CC"/>
    <w:rsid w:val="00C503D8"/>
    <w:rsid w:val="00C51B96"/>
    <w:rsid w:val="00C51E40"/>
    <w:rsid w:val="00C52B14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816DA"/>
    <w:rsid w:val="00C82725"/>
    <w:rsid w:val="00C90C37"/>
    <w:rsid w:val="00C944FD"/>
    <w:rsid w:val="00C9456E"/>
    <w:rsid w:val="00C96010"/>
    <w:rsid w:val="00CA0B22"/>
    <w:rsid w:val="00CA10BA"/>
    <w:rsid w:val="00CA1A4D"/>
    <w:rsid w:val="00CA2871"/>
    <w:rsid w:val="00CA3880"/>
    <w:rsid w:val="00CA5179"/>
    <w:rsid w:val="00CB21E7"/>
    <w:rsid w:val="00CB2CC3"/>
    <w:rsid w:val="00CC00E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128D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5B5D"/>
    <w:rsid w:val="00D97C2F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690A"/>
    <w:rsid w:val="00DF611B"/>
    <w:rsid w:val="00E00401"/>
    <w:rsid w:val="00E02537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27B5E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4C9C"/>
    <w:rsid w:val="00E56281"/>
    <w:rsid w:val="00E5645E"/>
    <w:rsid w:val="00E63178"/>
    <w:rsid w:val="00E66C74"/>
    <w:rsid w:val="00E7116B"/>
    <w:rsid w:val="00E75F52"/>
    <w:rsid w:val="00E8520B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C3F1D"/>
    <w:rsid w:val="00EC6555"/>
    <w:rsid w:val="00EE301F"/>
    <w:rsid w:val="00EE382E"/>
    <w:rsid w:val="00EF092C"/>
    <w:rsid w:val="00EF1D47"/>
    <w:rsid w:val="00EF54BD"/>
    <w:rsid w:val="00F00F5A"/>
    <w:rsid w:val="00F01996"/>
    <w:rsid w:val="00F027B3"/>
    <w:rsid w:val="00F03283"/>
    <w:rsid w:val="00F04C28"/>
    <w:rsid w:val="00F11834"/>
    <w:rsid w:val="00F1449E"/>
    <w:rsid w:val="00F146A6"/>
    <w:rsid w:val="00F17030"/>
    <w:rsid w:val="00F201FA"/>
    <w:rsid w:val="00F208E1"/>
    <w:rsid w:val="00F2459A"/>
    <w:rsid w:val="00F3517C"/>
    <w:rsid w:val="00F40A8D"/>
    <w:rsid w:val="00F41F5D"/>
    <w:rsid w:val="00F426B8"/>
    <w:rsid w:val="00F4290F"/>
    <w:rsid w:val="00F436B7"/>
    <w:rsid w:val="00F5130B"/>
    <w:rsid w:val="00F53AAE"/>
    <w:rsid w:val="00F80A20"/>
    <w:rsid w:val="00F8495F"/>
    <w:rsid w:val="00F856E3"/>
    <w:rsid w:val="00F8767E"/>
    <w:rsid w:val="00F9285C"/>
    <w:rsid w:val="00F92ABA"/>
    <w:rsid w:val="00FA3269"/>
    <w:rsid w:val="00FA39CB"/>
    <w:rsid w:val="00FA54E4"/>
    <w:rsid w:val="00FB6EB3"/>
    <w:rsid w:val="00FB7579"/>
    <w:rsid w:val="00FC3556"/>
    <w:rsid w:val="00FC5643"/>
    <w:rsid w:val="00FD19ED"/>
    <w:rsid w:val="00FD2422"/>
    <w:rsid w:val="00FD3B64"/>
    <w:rsid w:val="00FD7EE0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2025-08-01T05:27:00Z</dcterms:created>
  <dcterms:modified xsi:type="dcterms:W3CDTF">2025-08-01T05:28:00Z</dcterms:modified>
</cp:coreProperties>
</file>