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2B3CA8FA" w:rsidR="00B61944" w:rsidRPr="00A45EE9" w:rsidRDefault="00A51CB6">
      <w:pPr>
        <w:jc w:val="right"/>
        <w:rPr>
          <w:rFonts w:asciiTheme="minorHAnsi" w:hAnsiTheme="minorHAnsi"/>
          <w:sz w:val="22"/>
          <w:szCs w:val="22"/>
        </w:rPr>
      </w:pPr>
      <w:r>
        <w:rPr>
          <w:rFonts w:asciiTheme="minorHAnsi" w:hAnsiTheme="minorHAnsi"/>
          <w:sz w:val="22"/>
          <w:szCs w:val="22"/>
        </w:rPr>
        <w:t>S154</w:t>
      </w:r>
      <w:r w:rsidR="00CC2561" w:rsidRPr="00A45EE9">
        <w:rPr>
          <w:rFonts w:asciiTheme="minorHAnsi" w:hAnsiTheme="minorHAnsi"/>
          <w:sz w:val="22"/>
          <w:szCs w:val="22"/>
        </w:rPr>
        <w:t>/</w:t>
      </w:r>
      <w:r w:rsidR="00482E3D">
        <w:rPr>
          <w:rFonts w:asciiTheme="minorHAnsi" w:hAnsiTheme="minorHAnsi"/>
          <w:sz w:val="22"/>
          <w:szCs w:val="22"/>
        </w:rPr>
        <w:t>2</w:t>
      </w:r>
      <w:r w:rsidR="00AA1396">
        <w:rPr>
          <w:rFonts w:asciiTheme="minorHAnsi" w:hAnsiTheme="minorHAnsi"/>
          <w:sz w:val="22"/>
          <w:szCs w:val="22"/>
        </w:rPr>
        <w:t>5</w:t>
      </w:r>
      <w:r w:rsidR="00CC2561" w:rsidRPr="00A45EE9">
        <w:rPr>
          <w:rFonts w:asciiTheme="minorHAnsi" w:hAnsiTheme="minorHAnsi"/>
          <w:sz w:val="22"/>
          <w:szCs w:val="22"/>
        </w:rPr>
        <w:t>-9560-01</w:t>
      </w:r>
    </w:p>
    <w:p w14:paraId="4291ADA8" w14:textId="1BA3CE49"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1FA47134"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6821D72E" w:rsidR="002F295D" w:rsidRPr="002F295D" w:rsidRDefault="00625EEE"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52A086A9" wp14:editId="7F95FC45">
            <wp:simplePos x="0" y="0"/>
            <wp:positionH relativeFrom="page">
              <wp:posOffset>6266815</wp:posOffset>
            </wp:positionH>
            <wp:positionV relativeFrom="page">
              <wp:posOffset>1989455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7FE9DAD8" wp14:editId="634C423D">
                <wp:simplePos x="0" y="0"/>
                <wp:positionH relativeFrom="column">
                  <wp:posOffset>5115560</wp:posOffset>
                </wp:positionH>
                <wp:positionV relativeFrom="page">
                  <wp:posOffset>1872615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13427B87" w14:textId="77777777" w:rsidR="00625EEE" w:rsidRPr="00071F63" w:rsidRDefault="00625EEE" w:rsidP="00625EE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862B38B985048CBB42E91A034B7D621"/>
                                </w:placeholder>
                                <w:showingPlcHdr/>
                              </w:sdtPr>
                              <w:sdtContent>
                                <w:r w:rsidRPr="00EE0691">
                                  <w:rPr>
                                    <w:rStyle w:val="Zstupntext"/>
                                    <w:rFonts w:asciiTheme="minorHAnsi" w:hAnsiTheme="minorHAnsi" w:cstheme="minorHAnsi"/>
                                    <w:b w:val="0"/>
                                  </w:rPr>
                                  <w:t>VSB/25/107955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FE9DAD8" id="_x0000_t202" coordsize="21600,21600" o:spt="202" path="m,l,21600r21600,l21600,xe">
                <v:stroke joinstyle="miter"/>
                <v:path gradientshapeok="t" o:connecttype="rect"/>
              </v:shapetype>
              <v:shape id="Textové pole 2" o:spid="_x0000_s1026" type="#_x0000_t202" style="position:absolute;left:0;text-align:left;margin-left:402.8pt;margin-top:147.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" stroked="f">
                <v:textbox>
                  <w:txbxContent>
                    <w:p w14:paraId="13427B87" w14:textId="77777777" w:rsidR="00625EEE" w:rsidRPr="00071F63" w:rsidRDefault="00625EEE" w:rsidP="00625EE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862B38B985048CBB42E91A034B7D621"/>
                          </w:placeholder>
                          <w:showingPlcHdr/>
                        </w:sdtPr>
                        <w:sdtContent>
                          <w:r w:rsidRPr="00EE0691">
                            <w:rPr>
                              <w:rStyle w:val="Zstupntext"/>
                              <w:rFonts w:asciiTheme="minorHAnsi" w:hAnsiTheme="minorHAnsi" w:cstheme="minorHAnsi"/>
                              <w:b w:val="0"/>
                            </w:rPr>
                            <w:t>VSB/25/107955</w:t>
                          </w:r>
                        </w:sdtContent>
                      </w:sdt>
                    </w:p>
                  </w:txbxContent>
                </v:textbox>
                <w10:wrap type="tight" anchory="page"/>
              </v:shape>
            </w:pict>
          </mc:Fallback>
        </mc:AlternateContent>
      </w:r>
      <w:r w:rsidR="00722592"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00722592" w:rsidRPr="00722592">
        <w:rPr>
          <w:rFonts w:asciiTheme="minorHAnsi" w:hAnsiTheme="minorHAnsi" w:cs="Calibri"/>
          <w:b/>
          <w:bCs/>
          <w:i/>
          <w:spacing w:val="-1"/>
        </w:rPr>
        <w:t xml:space="preserve"> </w:t>
      </w:r>
      <w:r w:rsidR="00FE1F87">
        <w:rPr>
          <w:rFonts w:asciiTheme="minorHAnsi" w:hAnsiTheme="minorHAnsi" w:cs="Calibri"/>
          <w:b/>
          <w:bCs/>
          <w:i/>
          <w:spacing w:val="-1"/>
        </w:rPr>
        <w:t>5</w:t>
      </w:r>
      <w:r w:rsidR="00722592" w:rsidRPr="00722592">
        <w:rPr>
          <w:rFonts w:asciiTheme="minorHAnsi" w:hAnsiTheme="minorHAnsi" w:cs="Calibri"/>
          <w:b/>
          <w:bCs/>
          <w:i/>
          <w:spacing w:val="-1"/>
        </w:rPr>
        <w:t>/20</w:t>
      </w:r>
      <w:r w:rsidR="00482E3D">
        <w:rPr>
          <w:rFonts w:asciiTheme="minorHAnsi" w:hAnsiTheme="minorHAnsi" w:cs="Calibri"/>
          <w:b/>
          <w:bCs/>
          <w:i/>
          <w:spacing w:val="-1"/>
        </w:rPr>
        <w:t>2</w:t>
      </w:r>
      <w:r w:rsidR="00AA1396">
        <w:rPr>
          <w:rFonts w:asciiTheme="minorHAnsi" w:hAnsiTheme="minorHAnsi" w:cs="Calibri"/>
          <w:b/>
          <w:bCs/>
          <w:i/>
          <w:spacing w:val="-1"/>
        </w:rPr>
        <w:t>5</w:t>
      </w:r>
    </w:p>
    <w:p w14:paraId="75F0A6D6" w14:textId="1CDFE81D"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ust. </w:t>
      </w:r>
      <w:r w:rsidR="00953326" w:rsidRPr="009937C2">
        <w:rPr>
          <w:rFonts w:asciiTheme="minorHAnsi" w:hAnsiTheme="minorHAnsi"/>
          <w:b/>
          <w:sz w:val="22"/>
          <w:szCs w:val="22"/>
        </w:rPr>
        <w:t>§ 2079 a násl. zák. č. 89/2012 Sb., občanského zákoníku</w:t>
      </w:r>
    </w:p>
    <w:p w14:paraId="2C3D5156" w14:textId="46F5DF2C" w:rsidR="00B61944" w:rsidRPr="009937C2" w:rsidRDefault="00B61944">
      <w:pPr>
        <w:pStyle w:val="Zkladntext"/>
        <w:jc w:val="center"/>
        <w:rPr>
          <w:rFonts w:asciiTheme="minorHAnsi" w:hAnsiTheme="minorHAnsi"/>
          <w:b/>
          <w:sz w:val="22"/>
          <w:szCs w:val="22"/>
        </w:rPr>
      </w:pPr>
    </w:p>
    <w:p w14:paraId="47661D58"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6AE338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63FC181C"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B32921">
        <w:rPr>
          <w:rFonts w:asciiTheme="minorHAnsi" w:hAnsiTheme="minorHAnsi"/>
          <w:sz w:val="22"/>
          <w:szCs w:val="22"/>
        </w:rPr>
        <w:t>, na základě pověření</w:t>
      </w:r>
    </w:p>
    <w:p w14:paraId="5935E85A"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E8E584C"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35DE44BC"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2AFFB425"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EAEACB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E257219"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D97260F"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A9C0CC1"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FA212F8"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7BE792D"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vědecko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7E71BE7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C43CBD">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4C4B49F5"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71FA75"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w:t>
      </w:r>
      <w:r w:rsidR="00504970">
        <w:rPr>
          <w:rFonts w:asciiTheme="minorHAnsi" w:hAnsiTheme="minorHAnsi"/>
          <w:sz w:val="22"/>
          <w:szCs w:val="22"/>
        </w:rPr>
        <w:t>dodat</w:t>
      </w:r>
      <w:r w:rsidR="00B61944" w:rsidRPr="009937C2">
        <w:rPr>
          <w:rFonts w:asciiTheme="minorHAnsi" w:hAnsiTheme="minorHAnsi"/>
          <w:sz w:val="22"/>
          <w:szCs w:val="22"/>
        </w:rPr>
        <w:t xml:space="preserv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6E18EE">
        <w:rPr>
          <w:rFonts w:asciiTheme="minorHAnsi" w:hAnsiTheme="minorHAnsi"/>
          <w:b/>
          <w:sz w:val="22"/>
          <w:szCs w:val="22"/>
        </w:rPr>
        <w:t>7. 8. 2025</w:t>
      </w:r>
      <w:r w:rsidR="002D58B7" w:rsidRPr="009937C2">
        <w:rPr>
          <w:rFonts w:asciiTheme="minorHAnsi" w:hAnsiTheme="minorHAnsi"/>
          <w:sz w:val="22"/>
          <w:szCs w:val="22"/>
        </w:rPr>
        <w:t xml:space="preserve"> </w:t>
      </w:r>
      <w:r w:rsidR="00EE7042">
        <w:rPr>
          <w:rFonts w:asciiTheme="minorHAnsi" w:hAnsiTheme="minorHAnsi"/>
          <w:sz w:val="22"/>
          <w:szCs w:val="22"/>
        </w:rPr>
        <w:t xml:space="preserve">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327BDF">
        <w:rPr>
          <w:rFonts w:asciiTheme="minorHAnsi" w:hAnsiTheme="minorHAnsi"/>
          <w:sz w:val="22"/>
          <w:szCs w:val="22"/>
        </w:rPr>
        <w:t> </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a prodávající ve lhůtě 60-ti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269D196D" w14:textId="4F76A8B4" w:rsidR="005F7246" w:rsidRPr="005F7246" w:rsidRDefault="005F7246" w:rsidP="005F7246">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6A82C2D1"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0,0</w:t>
      </w:r>
      <w:r w:rsidR="00DD2AEB" w:rsidRPr="009937C2">
        <w:rPr>
          <w:rFonts w:asciiTheme="minorHAnsi" w:hAnsiTheme="minorHAnsi"/>
          <w:sz w:val="22"/>
          <w:szCs w:val="22"/>
        </w:rPr>
        <w:t>2</w:t>
      </w:r>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Pro účely této smlouvy se pod pojmem „bez zbytečného odkladu“ v souladu s ustanovením § 2001 a následujícími občanského zákoníku rozumí „nejpozději do 14-ti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default" r:id="rId9"/>
      <w:footerReference w:type="even" r:id="rId10"/>
      <w:footerReference w:type="default" r:id="rId11"/>
      <w:footerReference w:type="first" r:id="rId12"/>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4604" w14:textId="77777777" w:rsidR="00F41113" w:rsidRDefault="00F41113">
      <w:r>
        <w:separator/>
      </w:r>
    </w:p>
  </w:endnote>
  <w:endnote w:type="continuationSeparator" w:id="0">
    <w:p w14:paraId="28C56A7F" w14:textId="77777777" w:rsidR="00F41113" w:rsidRDefault="00F4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73CBDD77"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625EEE">
              <w:rPr>
                <w:rFonts w:asciiTheme="minorHAnsi" w:hAnsiTheme="minorHAnsi"/>
                <w:i/>
                <w:sz w:val="22"/>
                <w:szCs w:val="22"/>
              </w:rPr>
              <w:t>5</w:t>
            </w:r>
            <w:r w:rsidRPr="00B32921">
              <w:rPr>
                <w:rFonts w:asciiTheme="minorHAnsi" w:hAnsiTheme="minorHAnsi"/>
                <w:i/>
                <w:sz w:val="22"/>
                <w:szCs w:val="22"/>
              </w:rPr>
              <w:t>/20</w:t>
            </w:r>
            <w:r>
              <w:rPr>
                <w:rFonts w:asciiTheme="minorHAnsi" w:hAnsiTheme="minorHAnsi"/>
                <w:i/>
                <w:sz w:val="22"/>
                <w:szCs w:val="22"/>
              </w:rPr>
              <w:t>2</w:t>
            </w:r>
            <w:r w:rsidR="00AA1396">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3C96" w14:textId="77777777" w:rsidR="00F41113" w:rsidRDefault="00F41113">
      <w:r>
        <w:separator/>
      </w:r>
    </w:p>
  </w:footnote>
  <w:footnote w:type="continuationSeparator" w:id="0">
    <w:p w14:paraId="7A016CAE" w14:textId="77777777" w:rsidR="00F41113" w:rsidRDefault="00F4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4"/>
  </w:num>
  <w:num w:numId="3" w16cid:durableId="1961841170">
    <w:abstractNumId w:val="30"/>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5"/>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29"/>
  </w:num>
  <w:num w:numId="15" w16cid:durableId="1133911173">
    <w:abstractNumId w:val="5"/>
  </w:num>
  <w:num w:numId="16" w16cid:durableId="1284651507">
    <w:abstractNumId w:val="22"/>
  </w:num>
  <w:num w:numId="17" w16cid:durableId="506403652">
    <w:abstractNumId w:val="31"/>
  </w:num>
  <w:num w:numId="18" w16cid:durableId="256257967">
    <w:abstractNumId w:val="4"/>
  </w:num>
  <w:num w:numId="19" w16cid:durableId="536699254">
    <w:abstractNumId w:val="11"/>
  </w:num>
  <w:num w:numId="20" w16cid:durableId="1641884138">
    <w:abstractNumId w:val="17"/>
  </w:num>
  <w:num w:numId="21" w16cid:durableId="360976370">
    <w:abstractNumId w:val="27"/>
  </w:num>
  <w:num w:numId="22" w16cid:durableId="869411672">
    <w:abstractNumId w:val="28"/>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5545"/>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5C37"/>
    <w:rsid w:val="002A655B"/>
    <w:rsid w:val="002B3DC6"/>
    <w:rsid w:val="002B6998"/>
    <w:rsid w:val="002C4BAB"/>
    <w:rsid w:val="002C7FB5"/>
    <w:rsid w:val="002D0B84"/>
    <w:rsid w:val="002D58B7"/>
    <w:rsid w:val="002D6494"/>
    <w:rsid w:val="002D706E"/>
    <w:rsid w:val="002E0B6F"/>
    <w:rsid w:val="002F10C1"/>
    <w:rsid w:val="002F295D"/>
    <w:rsid w:val="002F6D39"/>
    <w:rsid w:val="002F7CBF"/>
    <w:rsid w:val="0030531A"/>
    <w:rsid w:val="00316892"/>
    <w:rsid w:val="00320CFA"/>
    <w:rsid w:val="00327BDF"/>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489"/>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7A5"/>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64FF"/>
    <w:rsid w:val="004E3E7C"/>
    <w:rsid w:val="004E4CD3"/>
    <w:rsid w:val="004E6BBA"/>
    <w:rsid w:val="004E77F9"/>
    <w:rsid w:val="004F0FB1"/>
    <w:rsid w:val="004F22D4"/>
    <w:rsid w:val="004F57FB"/>
    <w:rsid w:val="004F715E"/>
    <w:rsid w:val="00500B81"/>
    <w:rsid w:val="00501D3E"/>
    <w:rsid w:val="00504970"/>
    <w:rsid w:val="005054C0"/>
    <w:rsid w:val="00510B16"/>
    <w:rsid w:val="00512402"/>
    <w:rsid w:val="00520DB1"/>
    <w:rsid w:val="00521B90"/>
    <w:rsid w:val="0052215A"/>
    <w:rsid w:val="00522FB9"/>
    <w:rsid w:val="0053017D"/>
    <w:rsid w:val="00531DEE"/>
    <w:rsid w:val="00534A7E"/>
    <w:rsid w:val="005402EA"/>
    <w:rsid w:val="00540460"/>
    <w:rsid w:val="005408CE"/>
    <w:rsid w:val="00541C2A"/>
    <w:rsid w:val="00543493"/>
    <w:rsid w:val="00551ACB"/>
    <w:rsid w:val="0055313C"/>
    <w:rsid w:val="0055327D"/>
    <w:rsid w:val="00554019"/>
    <w:rsid w:val="00555200"/>
    <w:rsid w:val="005565E1"/>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5F7246"/>
    <w:rsid w:val="0060730F"/>
    <w:rsid w:val="0060777E"/>
    <w:rsid w:val="006116F2"/>
    <w:rsid w:val="00613370"/>
    <w:rsid w:val="00617B8B"/>
    <w:rsid w:val="00622786"/>
    <w:rsid w:val="006250E6"/>
    <w:rsid w:val="00625611"/>
    <w:rsid w:val="00625EEE"/>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A2D"/>
    <w:rsid w:val="006A2783"/>
    <w:rsid w:val="006A2996"/>
    <w:rsid w:val="006A4CB1"/>
    <w:rsid w:val="006A67B8"/>
    <w:rsid w:val="006B044C"/>
    <w:rsid w:val="006B3000"/>
    <w:rsid w:val="006B523B"/>
    <w:rsid w:val="006C46D6"/>
    <w:rsid w:val="006C5AE2"/>
    <w:rsid w:val="006C5BE3"/>
    <w:rsid w:val="006C5D9C"/>
    <w:rsid w:val="006C7EE1"/>
    <w:rsid w:val="006D5662"/>
    <w:rsid w:val="006D66AE"/>
    <w:rsid w:val="006D78D5"/>
    <w:rsid w:val="006E106F"/>
    <w:rsid w:val="006E18EE"/>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2E77"/>
    <w:rsid w:val="00793FC5"/>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D6B04"/>
    <w:rsid w:val="009E3F7B"/>
    <w:rsid w:val="009E52AE"/>
    <w:rsid w:val="009E73E0"/>
    <w:rsid w:val="009F1479"/>
    <w:rsid w:val="009F15C0"/>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1CB6"/>
    <w:rsid w:val="00A5621F"/>
    <w:rsid w:val="00A61795"/>
    <w:rsid w:val="00A63A66"/>
    <w:rsid w:val="00A669D9"/>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19ED"/>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772C"/>
    <w:rsid w:val="00DA7A36"/>
    <w:rsid w:val="00DB0FC6"/>
    <w:rsid w:val="00DB2A0D"/>
    <w:rsid w:val="00DB7A6A"/>
    <w:rsid w:val="00DC0DB1"/>
    <w:rsid w:val="00DC1B13"/>
    <w:rsid w:val="00DC3313"/>
    <w:rsid w:val="00DC4B5A"/>
    <w:rsid w:val="00DC68F8"/>
    <w:rsid w:val="00DD1615"/>
    <w:rsid w:val="00DD24A8"/>
    <w:rsid w:val="00DD2AEB"/>
    <w:rsid w:val="00DD60DC"/>
    <w:rsid w:val="00DD62A7"/>
    <w:rsid w:val="00DD7EB0"/>
    <w:rsid w:val="00DE67B1"/>
    <w:rsid w:val="00DE779B"/>
    <w:rsid w:val="00DE78D0"/>
    <w:rsid w:val="00DF5C5B"/>
    <w:rsid w:val="00E02E4C"/>
    <w:rsid w:val="00E03E1E"/>
    <w:rsid w:val="00E0547F"/>
    <w:rsid w:val="00E05959"/>
    <w:rsid w:val="00E05C3A"/>
    <w:rsid w:val="00E13CE8"/>
    <w:rsid w:val="00E16E44"/>
    <w:rsid w:val="00E20168"/>
    <w:rsid w:val="00E241DE"/>
    <w:rsid w:val="00E256B5"/>
    <w:rsid w:val="00E2582A"/>
    <w:rsid w:val="00E35609"/>
    <w:rsid w:val="00E3658B"/>
    <w:rsid w:val="00E3685A"/>
    <w:rsid w:val="00E36B21"/>
    <w:rsid w:val="00E371CB"/>
    <w:rsid w:val="00E41A5A"/>
    <w:rsid w:val="00E42191"/>
    <w:rsid w:val="00E42D6B"/>
    <w:rsid w:val="00E46104"/>
    <w:rsid w:val="00E53469"/>
    <w:rsid w:val="00E76206"/>
    <w:rsid w:val="00E845A0"/>
    <w:rsid w:val="00E94646"/>
    <w:rsid w:val="00E9499A"/>
    <w:rsid w:val="00EA1F57"/>
    <w:rsid w:val="00EA4921"/>
    <w:rsid w:val="00EC170E"/>
    <w:rsid w:val="00EC35A6"/>
    <w:rsid w:val="00EC44AE"/>
    <w:rsid w:val="00ED1FF7"/>
    <w:rsid w:val="00ED68F6"/>
    <w:rsid w:val="00EE45A8"/>
    <w:rsid w:val="00EE7042"/>
    <w:rsid w:val="00EF45F8"/>
    <w:rsid w:val="00EF647E"/>
    <w:rsid w:val="00EF657B"/>
    <w:rsid w:val="00F0081C"/>
    <w:rsid w:val="00F10884"/>
    <w:rsid w:val="00F1406B"/>
    <w:rsid w:val="00F149DA"/>
    <w:rsid w:val="00F30DA2"/>
    <w:rsid w:val="00F31145"/>
    <w:rsid w:val="00F34E3E"/>
    <w:rsid w:val="00F36E53"/>
    <w:rsid w:val="00F3785A"/>
    <w:rsid w:val="00F41113"/>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1F87"/>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E371C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371CB"/>
    <w:rPr>
      <w:color w:val="808080"/>
    </w:rPr>
  </w:style>
  <w:style w:type="paragraph" w:styleId="Datum">
    <w:name w:val="Date"/>
    <w:basedOn w:val="Normln"/>
    <w:next w:val="Normln"/>
    <w:link w:val="DatumChar"/>
    <w:rsid w:val="00E371CB"/>
  </w:style>
  <w:style w:type="character" w:customStyle="1" w:styleId="DatumChar">
    <w:name w:val="Datum Char"/>
    <w:basedOn w:val="Standardnpsmoodstavce"/>
    <w:link w:val="Datum"/>
    <w:rsid w:val="00E371CB"/>
    <w:rPr>
      <w:sz w:val="24"/>
      <w:szCs w:val="24"/>
    </w:rPr>
  </w:style>
  <w:style w:type="character" w:customStyle="1" w:styleId="ZkladntextChar">
    <w:name w:val="Základní text Char"/>
    <w:basedOn w:val="Standardnpsmoodstavce"/>
    <w:link w:val="Zkladntext"/>
    <w:rsid w:val="005F72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2B38B985048CBB42E91A034B7D621"/>
        <w:category>
          <w:name w:val="Obecné"/>
          <w:gallery w:val="placeholder"/>
        </w:category>
        <w:types>
          <w:type w:val="bbPlcHdr"/>
        </w:types>
        <w:behaviors>
          <w:behavior w:val="content"/>
        </w:behaviors>
        <w:guid w:val="{760A6EE0-E19A-4CEF-83EC-A839D49408F0}"/>
      </w:docPartPr>
      <w:docPartBody>
        <w:p w:rsidR="00000000" w:rsidRDefault="00C97550" w:rsidP="00C97550">
          <w:pPr>
            <w:pStyle w:val="B862B38B985048CBB42E91A034B7D62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B7"/>
    <w:rsid w:val="000C3350"/>
    <w:rsid w:val="001805B7"/>
    <w:rsid w:val="00385489"/>
    <w:rsid w:val="00C97550"/>
    <w:rsid w:val="00DD1615"/>
    <w:rsid w:val="00EE7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7550"/>
    <w:rPr>
      <w:color w:val="808080"/>
    </w:rPr>
  </w:style>
  <w:style w:type="paragraph" w:customStyle="1" w:styleId="D818FE789C6C45338326E17C3373E0C0">
    <w:name w:val="D818FE789C6C45338326E17C3373E0C0"/>
    <w:rsid w:val="001805B7"/>
  </w:style>
  <w:style w:type="paragraph" w:customStyle="1" w:styleId="B862B38B985048CBB42E91A034B7D621">
    <w:name w:val="B862B38B985048CBB42E91A034B7D621"/>
    <w:rsid w:val="00C97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2983</Words>
  <Characters>17600</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46</cp:revision>
  <cp:lastPrinted>2018-06-06T11:32:00Z</cp:lastPrinted>
  <dcterms:created xsi:type="dcterms:W3CDTF">2019-08-14T05:56:00Z</dcterms:created>
  <dcterms:modified xsi:type="dcterms:W3CDTF">2025-07-22T07:23:00Z</dcterms:modified>
</cp:coreProperties>
</file>