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CA83" w14:textId="4316D707" w:rsidR="00B714DD" w:rsidRPr="00B714DD" w:rsidRDefault="00B714DD" w:rsidP="00E71294">
      <w:pPr>
        <w:spacing w:line="276" w:lineRule="auto"/>
        <w:jc w:val="right"/>
        <w:rPr>
          <w:rFonts w:asciiTheme="minorHAnsi" w:hAnsiTheme="minorHAnsi" w:cstheme="minorHAnsi"/>
          <w:sz w:val="22"/>
          <w:szCs w:val="22"/>
        </w:rPr>
      </w:pPr>
      <w:r w:rsidRPr="00655A37">
        <w:rPr>
          <w:rFonts w:asciiTheme="minorHAnsi" w:hAnsiTheme="minorHAnsi" w:cstheme="minorHAnsi"/>
          <w:b/>
          <w:sz w:val="22"/>
          <w:szCs w:val="22"/>
        </w:rPr>
        <w:t>S</w:t>
      </w:r>
      <w:r w:rsidR="00A325C4">
        <w:rPr>
          <w:rFonts w:asciiTheme="minorHAnsi" w:hAnsiTheme="minorHAnsi" w:cstheme="minorHAnsi"/>
          <w:b/>
          <w:sz w:val="22"/>
          <w:szCs w:val="22"/>
        </w:rPr>
        <w:t>133</w:t>
      </w:r>
      <w:r w:rsidRPr="00655A37">
        <w:rPr>
          <w:rFonts w:asciiTheme="minorHAnsi" w:hAnsiTheme="minorHAnsi" w:cstheme="minorHAnsi"/>
          <w:b/>
          <w:sz w:val="22"/>
          <w:szCs w:val="22"/>
        </w:rPr>
        <w:t>/2</w:t>
      </w:r>
      <w:r>
        <w:rPr>
          <w:rFonts w:asciiTheme="minorHAnsi" w:hAnsiTheme="minorHAnsi" w:cstheme="minorHAnsi"/>
          <w:b/>
          <w:sz w:val="22"/>
          <w:szCs w:val="22"/>
        </w:rPr>
        <w:t>5</w:t>
      </w:r>
      <w:r w:rsidRPr="00655A37">
        <w:rPr>
          <w:rFonts w:asciiTheme="minorHAnsi" w:hAnsiTheme="minorHAnsi" w:cstheme="minorHAnsi"/>
          <w:b/>
          <w:sz w:val="22"/>
          <w:szCs w:val="22"/>
        </w:rPr>
        <w:t>-9560-01</w:t>
      </w:r>
    </w:p>
    <w:p w14:paraId="7E1EF113" w14:textId="286B9CA5" w:rsidR="00B714DD" w:rsidRDefault="00CD6A23" w:rsidP="0051082A">
      <w:pPr>
        <w:spacing w:line="276" w:lineRule="auto"/>
        <w:jc w:val="center"/>
        <w:rPr>
          <w:rFonts w:asciiTheme="minorHAnsi" w:hAnsiTheme="minorHAnsi" w:cstheme="minorHAnsi"/>
          <w:b/>
          <w:sz w:val="28"/>
          <w:szCs w:val="28"/>
        </w:rPr>
      </w:pP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p>
    <w:p w14:paraId="1C913FCE" w14:textId="77777777" w:rsidR="0022251F" w:rsidRPr="0022251F" w:rsidRDefault="0022251F" w:rsidP="0022251F">
      <w:pPr>
        <w:pStyle w:val="slo"/>
        <w:tabs>
          <w:tab w:val="clear" w:pos="1418"/>
          <w:tab w:val="left" w:pos="0"/>
        </w:tabs>
        <w:spacing w:before="0"/>
        <w:ind w:hanging="1418"/>
        <w:rPr>
          <w:rFonts w:ascii="Arial" w:hAnsi="Arial" w:cs="Arial"/>
          <w:b w:val="0"/>
          <w:bCs/>
        </w:rPr>
      </w:pPr>
      <w:r w:rsidRPr="0022251F">
        <w:rPr>
          <w:rFonts w:asciiTheme="minorHAnsi" w:hAnsiTheme="minorHAnsi" w:cstheme="minorHAnsi"/>
          <w:b w:val="0"/>
          <w:bCs/>
        </w:rPr>
        <w:t>č.j.:</w:t>
      </w:r>
      <w:r w:rsidRPr="0022251F">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5F38FB0618194B598EF58AF8785E37CB"/>
          </w:placeholder>
          <w:showingPlcHdr/>
        </w:sdtPr>
        <w:sdtContent>
          <w:r w:rsidRPr="0022251F">
            <w:rPr>
              <w:rStyle w:val="Zstupntext"/>
              <w:rFonts w:asciiTheme="minorHAnsi" w:hAnsiTheme="minorHAnsi" w:cstheme="minorHAnsi"/>
              <w:b w:val="0"/>
              <w:bCs/>
              <w:color w:val="auto"/>
            </w:rPr>
            <w:t>VSB/25/086413</w:t>
          </w:r>
        </w:sdtContent>
      </w:sdt>
    </w:p>
    <w:p w14:paraId="598A1298" w14:textId="77777777" w:rsidR="00CD6A23" w:rsidRDefault="00CD6A23" w:rsidP="0022251F">
      <w:pPr>
        <w:spacing w:line="276" w:lineRule="auto"/>
        <w:rPr>
          <w:rFonts w:asciiTheme="minorHAnsi" w:hAnsiTheme="minorHAnsi" w:cstheme="minorHAnsi"/>
          <w:b/>
          <w:sz w:val="28"/>
          <w:szCs w:val="28"/>
        </w:rPr>
      </w:pPr>
    </w:p>
    <w:p w14:paraId="6CF76057" w14:textId="51D8A573" w:rsidR="00CD6A23" w:rsidRDefault="00CD6A23" w:rsidP="00A325C4">
      <w:pPr>
        <w:spacing w:line="276" w:lineRule="auto"/>
        <w:jc w:val="right"/>
        <w:rPr>
          <w:rFonts w:asciiTheme="minorHAnsi" w:hAnsiTheme="minorHAnsi" w:cstheme="minorHAnsi"/>
          <w:b/>
          <w:sz w:val="28"/>
          <w:szCs w:val="28"/>
        </w:rPr>
      </w:pPr>
    </w:p>
    <w:p w14:paraId="4A742D27" w14:textId="16B5991C" w:rsidR="0051082A" w:rsidRPr="006B2876" w:rsidRDefault="0051082A" w:rsidP="00E71294">
      <w:pPr>
        <w:tabs>
          <w:tab w:val="left" w:pos="9356"/>
        </w:tabs>
        <w:spacing w:line="276" w:lineRule="auto"/>
        <w:ind w:firstLine="708"/>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7F501453" w:rsidR="0051082A" w:rsidRPr="006B2876" w:rsidRDefault="00A325C4" w:rsidP="0051082A">
      <w:pPr>
        <w:tabs>
          <w:tab w:val="center" w:pos="4607"/>
          <w:tab w:val="left" w:pos="7920"/>
        </w:tabs>
        <w:spacing w:before="120" w:after="120" w:line="276" w:lineRule="auto"/>
        <w:jc w:val="center"/>
        <w:rPr>
          <w:rFonts w:asciiTheme="minorHAnsi" w:hAnsiTheme="minorHAnsi" w:cstheme="minorHAnsi"/>
          <w:spacing w:val="-1"/>
          <w:sz w:val="22"/>
          <w:szCs w:val="22"/>
        </w:rPr>
      </w:pPr>
      <w:r>
        <w:rPr>
          <w:noProof/>
        </w:rPr>
        <w:drawing>
          <wp:anchor distT="0" distB="0" distL="114300" distR="114300" simplePos="0" relativeHeight="251659264" behindDoc="1" locked="0" layoutInCell="1" allowOverlap="0" wp14:anchorId="18257617" wp14:editId="3E28B567">
            <wp:simplePos x="0" y="0"/>
            <wp:positionH relativeFrom="margin">
              <wp:align>right</wp:align>
            </wp:positionH>
            <wp:positionV relativeFrom="page">
              <wp:posOffset>1858645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82A" w:rsidRPr="006B2876">
        <w:rPr>
          <w:rFonts w:asciiTheme="minorHAnsi" w:hAnsiTheme="minorHAnsi" w:cstheme="minorHAnsi"/>
          <w:spacing w:val="-1"/>
          <w:sz w:val="22"/>
          <w:szCs w:val="22"/>
        </w:rPr>
        <w:t xml:space="preserve">k veřejné zakázce malého rozsahu s názvem </w:t>
      </w:r>
    </w:p>
    <w:p w14:paraId="0793FC4B" w14:textId="4DACA0CE"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476988">
        <w:rPr>
          <w:rFonts w:asciiTheme="minorHAnsi" w:hAnsiTheme="minorHAnsi" w:cstheme="minorHAnsi"/>
          <w:b/>
          <w:spacing w:val="-1"/>
          <w:sz w:val="28"/>
          <w:szCs w:val="28"/>
        </w:rPr>
        <w:t>1</w:t>
      </w:r>
      <w:r w:rsidR="00215AB7">
        <w:rPr>
          <w:rFonts w:asciiTheme="minorHAnsi" w:hAnsiTheme="minorHAnsi" w:cstheme="minorHAnsi"/>
          <w:b/>
          <w:spacing w:val="-1"/>
          <w:sz w:val="28"/>
          <w:szCs w:val="28"/>
        </w:rPr>
        <w:t>1</w:t>
      </w:r>
      <w:r w:rsidRPr="006B2876">
        <w:rPr>
          <w:rFonts w:asciiTheme="minorHAnsi" w:hAnsiTheme="minorHAnsi" w:cstheme="minorHAnsi"/>
          <w:b/>
          <w:spacing w:val="-1"/>
          <w:sz w:val="28"/>
          <w:szCs w:val="28"/>
        </w:rPr>
        <w:t>/202</w:t>
      </w:r>
      <w:r w:rsidR="00215AB7">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07AE5F17"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002CF5">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1551D498"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r w:rsidR="008470F7">
        <w:rPr>
          <w:rFonts w:asciiTheme="minorHAnsi" w:hAnsiTheme="minorHAnsi" w:cstheme="minorHAnsi"/>
          <w:sz w:val="22"/>
          <w:szCs w:val="22"/>
        </w:rPr>
        <w:t xml:space="preserve"> </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26E1FE0B" w:rsidR="00491A8A" w:rsidRPr="00B10607" w:rsidRDefault="00491A8A" w:rsidP="00491A8A">
      <w:pPr>
        <w:ind w:firstLine="357"/>
        <w:rPr>
          <w:rFonts w:asciiTheme="minorHAnsi" w:hAnsiTheme="minorHAnsi" w:cstheme="minorHAnsi"/>
          <w:color w:val="000000"/>
          <w:sz w:val="22"/>
          <w:szCs w:val="22"/>
        </w:rPr>
      </w:pPr>
      <w:r w:rsidRPr="00B10607">
        <w:rPr>
          <w:rFonts w:asciiTheme="minorHAnsi" w:hAnsiTheme="minorHAnsi" w:cstheme="minorHAnsi"/>
          <w:sz w:val="22"/>
          <w:szCs w:val="22"/>
        </w:rPr>
        <w:t xml:space="preserve">Kontaktní osoba: </w:t>
      </w:r>
      <w:r w:rsidRPr="00B10607">
        <w:rPr>
          <w:rFonts w:asciiTheme="minorHAnsi" w:hAnsiTheme="minorHAnsi" w:cstheme="minorHAnsi"/>
          <w:sz w:val="22"/>
          <w:szCs w:val="22"/>
        </w:rPr>
        <w:tab/>
      </w:r>
      <w:r w:rsidR="00476988">
        <w:rPr>
          <w:rFonts w:asciiTheme="minorHAnsi" w:hAnsiTheme="minorHAnsi" w:cstheme="minorHAnsi"/>
          <w:sz w:val="22"/>
          <w:szCs w:val="22"/>
        </w:rPr>
        <w:tab/>
        <w:t xml:space="preserve"> </w:t>
      </w:r>
      <w:r w:rsidR="000A51F6" w:rsidRPr="00B10607">
        <w:rPr>
          <w:rFonts w:asciiTheme="minorHAnsi" w:hAnsiTheme="minorHAnsi" w:cstheme="minorHAnsi"/>
          <w:sz w:val="22"/>
          <w:szCs w:val="22"/>
        </w:rPr>
        <w:t>Eva Pastrňáková</w:t>
      </w:r>
      <w:r w:rsidR="00CB2853" w:rsidRPr="00B10607">
        <w:rPr>
          <w:rFonts w:asciiTheme="minorHAnsi" w:hAnsiTheme="minorHAnsi" w:cstheme="minorHAnsi"/>
          <w:sz w:val="22"/>
          <w:szCs w:val="22"/>
        </w:rPr>
        <w:t>,</w:t>
      </w:r>
      <w:r w:rsidRPr="00B10607">
        <w:rPr>
          <w:rFonts w:asciiTheme="minorHAnsi" w:hAnsiTheme="minorHAnsi" w:cstheme="minorHAnsi"/>
          <w:sz w:val="22"/>
          <w:szCs w:val="22"/>
        </w:rPr>
        <w:t xml:space="preserve"> tf. </w:t>
      </w:r>
      <w:r w:rsidRPr="00B10607">
        <w:rPr>
          <w:rFonts w:asciiTheme="minorHAnsi" w:hAnsiTheme="minorHAnsi" w:cstheme="minorHAnsi"/>
          <w:color w:val="000000"/>
          <w:sz w:val="22"/>
          <w:szCs w:val="22"/>
        </w:rPr>
        <w:t xml:space="preserve"> +420</w:t>
      </w:r>
      <w:r w:rsidR="00E25A0F" w:rsidRPr="00B10607">
        <w:rPr>
          <w:rFonts w:asciiTheme="minorHAnsi" w:hAnsiTheme="minorHAnsi" w:cstheme="minorHAnsi"/>
          <w:color w:val="000000"/>
          <w:sz w:val="22"/>
          <w:szCs w:val="22"/>
        </w:rPr>
        <w:t> 602</w:t>
      </w:r>
      <w:r w:rsidR="000A51F6" w:rsidRPr="00B10607">
        <w:rPr>
          <w:rFonts w:asciiTheme="minorHAnsi" w:hAnsiTheme="minorHAnsi" w:cstheme="minorHAnsi"/>
          <w:color w:val="000000"/>
          <w:sz w:val="22"/>
          <w:szCs w:val="22"/>
        </w:rPr>
        <w:t> 559 820</w:t>
      </w:r>
    </w:p>
    <w:p w14:paraId="420A4CD4" w14:textId="63566900" w:rsidR="00BC3732" w:rsidRPr="00B10607" w:rsidRDefault="00491A8A" w:rsidP="000A51F6">
      <w:pPr>
        <w:ind w:firstLine="357"/>
        <w:rPr>
          <w:rFonts w:asciiTheme="minorHAnsi" w:hAnsiTheme="minorHAnsi" w:cstheme="minorHAnsi"/>
          <w:sz w:val="22"/>
          <w:szCs w:val="22"/>
        </w:rPr>
      </w:pPr>
      <w:r w:rsidRPr="00B10607">
        <w:rPr>
          <w:rFonts w:asciiTheme="minorHAnsi" w:hAnsiTheme="minorHAnsi" w:cstheme="minorHAnsi"/>
          <w:sz w:val="22"/>
          <w:szCs w:val="22"/>
        </w:rPr>
        <w:t xml:space="preserve">e-mail: </w:t>
      </w:r>
      <w:r w:rsidRPr="00B10607">
        <w:rPr>
          <w:rFonts w:asciiTheme="minorHAnsi" w:hAnsiTheme="minorHAnsi" w:cstheme="minorHAnsi"/>
          <w:sz w:val="22"/>
          <w:szCs w:val="22"/>
        </w:rPr>
        <w:tab/>
        <w:t xml:space="preserve"> </w:t>
      </w:r>
      <w:r w:rsidRPr="00B10607">
        <w:rPr>
          <w:rFonts w:asciiTheme="minorHAnsi" w:hAnsiTheme="minorHAnsi" w:cstheme="minorHAnsi"/>
          <w:sz w:val="22"/>
          <w:szCs w:val="22"/>
        </w:rPr>
        <w:tab/>
      </w:r>
      <w:r w:rsidRPr="00B10607">
        <w:rPr>
          <w:rFonts w:asciiTheme="minorHAnsi" w:hAnsiTheme="minorHAnsi" w:cstheme="minorHAnsi"/>
          <w:sz w:val="22"/>
          <w:szCs w:val="22"/>
        </w:rPr>
        <w:tab/>
      </w:r>
      <w:r w:rsidR="00476988">
        <w:rPr>
          <w:rFonts w:asciiTheme="minorHAnsi" w:hAnsiTheme="minorHAnsi" w:cstheme="minorHAnsi"/>
          <w:sz w:val="22"/>
          <w:szCs w:val="22"/>
        </w:rPr>
        <w:t xml:space="preserve"> </w:t>
      </w:r>
      <w:hyperlink r:id="rId12" w:history="1">
        <w:r w:rsidR="00476988" w:rsidRPr="008356E4">
          <w:rPr>
            <w:rStyle w:val="Hypertextovodkaz"/>
            <w:rFonts w:asciiTheme="minorHAnsi" w:hAnsiTheme="minorHAnsi" w:cstheme="minorHAnsi"/>
            <w:sz w:val="22"/>
            <w:szCs w:val="22"/>
          </w:rPr>
          <w:t>eva.pastrnakova@vsb.cz</w:t>
        </w:r>
      </w:hyperlink>
      <w:r w:rsidR="000A51F6" w:rsidRPr="00B10607">
        <w:rPr>
          <w:rFonts w:asciiTheme="minorHAnsi" w:hAnsiTheme="minorHAnsi" w:cstheme="minorHAnsi"/>
          <w:sz w:val="22"/>
          <w:szCs w:val="22"/>
        </w:rPr>
        <w:t xml:space="preserve"> </w:t>
      </w:r>
      <w:hyperlink r:id="rId13" w:history="1"/>
      <w:r w:rsidR="000A51F6" w:rsidRPr="00B10607">
        <w:rPr>
          <w:rFonts w:asciiTheme="minorHAnsi" w:hAnsiTheme="minorHAnsi" w:cstheme="minorHAnsi"/>
          <w:sz w:val="22"/>
          <w:szCs w:val="22"/>
        </w:rPr>
        <w:t xml:space="preserve"> </w:t>
      </w:r>
      <w:r w:rsidR="00E25A0F" w:rsidRPr="00B10607">
        <w:rPr>
          <w:rFonts w:asciiTheme="minorHAnsi" w:hAnsiTheme="minorHAnsi" w:cstheme="minorHAnsi"/>
          <w:sz w:val="22"/>
          <w:szCs w:val="22"/>
        </w:rPr>
        <w:tab/>
      </w:r>
    </w:p>
    <w:p w14:paraId="42861866" w14:textId="28A582BC" w:rsidR="00491A8A" w:rsidRPr="00B10607" w:rsidRDefault="00BC3732" w:rsidP="00D14CB4">
      <w:pPr>
        <w:ind w:firstLine="357"/>
        <w:rPr>
          <w:rFonts w:asciiTheme="minorHAnsi" w:hAnsiTheme="minorHAnsi" w:cstheme="minorHAnsi"/>
          <w:sz w:val="22"/>
          <w:szCs w:val="22"/>
        </w:rPr>
      </w:pP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r w:rsidRPr="00B10607">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B10607">
        <w:rPr>
          <w:rStyle w:val="Hypertextovodkaz"/>
          <w:rFonts w:asciiTheme="minorHAnsi" w:hAnsiTheme="minorHAnsi" w:cstheme="minorHAnsi"/>
          <w:color w:val="auto"/>
          <w:sz w:val="22"/>
          <w:szCs w:val="22"/>
          <w:u w:val="none"/>
        </w:rPr>
        <w:t>(dále jen „kupující“)</w:t>
      </w:r>
      <w:r w:rsidRPr="00AF3EBA">
        <w:rPr>
          <w:rStyle w:val="Hypertextovodkaz"/>
          <w:rFonts w:asciiTheme="minorHAnsi" w:hAnsiTheme="minorHAnsi" w:cstheme="minorHAnsi"/>
          <w:color w:val="auto"/>
          <w:sz w:val="22"/>
          <w:szCs w:val="22"/>
          <w:u w:val="none"/>
        </w:rPr>
        <w:t xml:space="preserve">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lastRenderedPageBreak/>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171A7846"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CB2853">
        <w:rPr>
          <w:rFonts w:asciiTheme="minorHAnsi" w:hAnsiTheme="minorHAnsi" w:cstheme="minorHAnsi"/>
          <w:sz w:val="22"/>
          <w:szCs w:val="22"/>
        </w:rPr>
        <w:t xml:space="preserve">pracoviště </w:t>
      </w:r>
      <w:r w:rsidR="00B055D3">
        <w:rPr>
          <w:rFonts w:asciiTheme="minorHAnsi" w:hAnsiTheme="minorHAnsi" w:cstheme="minorHAnsi"/>
          <w:sz w:val="22"/>
          <w:szCs w:val="22"/>
        </w:rPr>
        <w:t>CEET</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Pr="006B2876">
        <w:rPr>
          <w:rFonts w:asciiTheme="minorHAnsi" w:hAnsiTheme="minorHAnsi" w:cstheme="minorHAnsi"/>
          <w:sz w:val="22"/>
          <w:szCs w:val="22"/>
        </w:rPr>
        <w:t xml:space="preserve"> </w:t>
      </w:r>
      <w:r w:rsidR="00C5192F">
        <w:rPr>
          <w:rFonts w:asciiTheme="minorHAnsi" w:hAnsiTheme="minorHAnsi" w:cstheme="minorHAnsi"/>
          <w:sz w:val="22"/>
          <w:szCs w:val="22"/>
        </w:rPr>
        <w:t xml:space="preserve">a </w:t>
      </w:r>
      <w:r w:rsidR="00F70556">
        <w:rPr>
          <w:rFonts w:asciiTheme="minorHAnsi" w:hAnsiTheme="minorHAnsi" w:cstheme="minorHAnsi"/>
          <w:sz w:val="22"/>
          <w:szCs w:val="22"/>
        </w:rPr>
        <w:t>specifikace propagačních předmětů</w:t>
      </w:r>
      <w:r w:rsidR="00F5656E">
        <w:rPr>
          <w:rFonts w:asciiTheme="minorHAnsi" w:hAnsiTheme="minorHAnsi" w:cstheme="minorHAnsi"/>
          <w:sz w:val="22"/>
          <w:szCs w:val="22"/>
        </w:rPr>
        <w:t xml:space="preserve">, která tvoří přílohu č. 2 </w:t>
      </w:r>
      <w:r w:rsidRPr="006B2876">
        <w:rPr>
          <w:rFonts w:asciiTheme="minorHAnsi" w:hAnsiTheme="minorHAnsi" w:cstheme="minorHAnsi"/>
          <w:sz w:val="22"/>
          <w:szCs w:val="22"/>
        </w:rPr>
        <w:t>této smlouvy a podmínek stanovených v</w:t>
      </w:r>
      <w:r w:rsidR="001901D3">
        <w:rPr>
          <w:rFonts w:asciiTheme="minorHAnsi" w:hAnsiTheme="minorHAnsi" w:cstheme="minorHAnsi"/>
          <w:sz w:val="22"/>
          <w:szCs w:val="22"/>
        </w:rPr>
        <w:t>e</w:t>
      </w:r>
      <w:r w:rsidRPr="006B2876">
        <w:rPr>
          <w:rFonts w:asciiTheme="minorHAnsi" w:hAnsiTheme="minorHAnsi" w:cstheme="minorHAnsi"/>
          <w:sz w:val="22"/>
          <w:szCs w:val="22"/>
        </w:rPr>
        <w:t> </w:t>
      </w:r>
      <w:r w:rsidR="001901D3">
        <w:rPr>
          <w:rFonts w:asciiTheme="minorHAnsi" w:hAnsiTheme="minorHAnsi" w:cstheme="minorHAnsi"/>
          <w:sz w:val="22"/>
          <w:szCs w:val="22"/>
        </w:rPr>
        <w:t>v</w:t>
      </w:r>
      <w:r w:rsidRPr="006B2876">
        <w:rPr>
          <w:rFonts w:asciiTheme="minorHAnsi" w:hAnsiTheme="minorHAnsi" w:cstheme="minorHAnsi"/>
          <w:sz w:val="22"/>
          <w:szCs w:val="22"/>
        </w:rPr>
        <w:t>eřejné zakáz</w:t>
      </w:r>
      <w:r w:rsidR="001901D3">
        <w:rPr>
          <w:rFonts w:asciiTheme="minorHAnsi" w:hAnsiTheme="minorHAnsi" w:cstheme="minorHAnsi"/>
          <w:sz w:val="22"/>
          <w:szCs w:val="22"/>
        </w:rPr>
        <w:t>ce</w:t>
      </w:r>
      <w:r w:rsidRPr="006B2876">
        <w:rPr>
          <w:rFonts w:asciiTheme="minorHAnsi" w:hAnsiTheme="minorHAnsi" w:cstheme="minorHAnsi"/>
          <w:sz w:val="22"/>
          <w:szCs w:val="22"/>
        </w:rPr>
        <w:t xml:space="preserve"> předcházející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w:t>
      </w:r>
      <w:r w:rsidRPr="006B2876">
        <w:rPr>
          <w:rFonts w:asciiTheme="minorHAnsi" w:hAnsiTheme="minorHAnsi" w:cstheme="minorHAnsi"/>
        </w:rPr>
        <w:lastRenderedPageBreak/>
        <w:t>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FF5F08"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b/>
        </w:rPr>
      </w:pPr>
      <w:r w:rsidRPr="00D80D1B">
        <w:rPr>
          <w:rFonts w:asciiTheme="minorHAnsi" w:hAnsiTheme="minorHAnsi" w:cstheme="minorHAnsi"/>
        </w:rPr>
        <w:t xml:space="preserve">místo vykládky: </w:t>
      </w:r>
      <w:r w:rsidRPr="00FF5F08">
        <w:rPr>
          <w:rFonts w:asciiTheme="minorHAnsi" w:hAnsiTheme="minorHAnsi" w:cstheme="minorHAnsi"/>
          <w:b/>
        </w:rPr>
        <w:t xml:space="preserve">budova </w:t>
      </w:r>
      <w:r w:rsidR="00994DB2" w:rsidRPr="00FF5F08">
        <w:rPr>
          <w:rFonts w:asciiTheme="minorHAnsi" w:hAnsiTheme="minorHAnsi" w:cstheme="minorHAnsi"/>
          <w:b/>
        </w:rPr>
        <w:t>A (rektorát)</w:t>
      </w:r>
      <w:r w:rsidRPr="00FF5F08">
        <w:rPr>
          <w:rFonts w:asciiTheme="minorHAnsi" w:hAnsiTheme="minorHAnsi" w:cstheme="minorHAnsi"/>
          <w:b/>
        </w:rPr>
        <w:t xml:space="preserve">, </w:t>
      </w:r>
      <w:r w:rsidR="00994DB2" w:rsidRPr="00FF5F08">
        <w:rPr>
          <w:rFonts w:asciiTheme="minorHAnsi" w:hAnsiTheme="minorHAnsi" w:cstheme="minorHAnsi"/>
          <w:b/>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42C1174D" w:rsidR="00D1138A" w:rsidRPr="0059682B"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 xml:space="preserve">Prodávající je povinen dodat předmět koupě </w:t>
      </w:r>
      <w:r w:rsidRPr="00E20B5A">
        <w:rPr>
          <w:rFonts w:asciiTheme="minorHAnsi" w:hAnsiTheme="minorHAnsi" w:cstheme="minorHAnsi"/>
          <w:sz w:val="22"/>
          <w:szCs w:val="22"/>
        </w:rPr>
        <w:t>nejpoz</w:t>
      </w:r>
      <w:r w:rsidRPr="0059682B">
        <w:rPr>
          <w:rFonts w:asciiTheme="minorHAnsi" w:hAnsiTheme="minorHAnsi" w:cstheme="minorHAnsi"/>
          <w:sz w:val="22"/>
          <w:szCs w:val="22"/>
        </w:rPr>
        <w:t>ději</w:t>
      </w:r>
      <w:r w:rsidR="00845493" w:rsidRPr="0059682B">
        <w:rPr>
          <w:rFonts w:asciiTheme="minorHAnsi" w:hAnsiTheme="minorHAnsi" w:cstheme="minorHAnsi"/>
          <w:sz w:val="22"/>
          <w:szCs w:val="22"/>
        </w:rPr>
        <w:t xml:space="preserve"> </w:t>
      </w:r>
      <w:r w:rsidR="00845493" w:rsidRPr="0059682B">
        <w:rPr>
          <w:rFonts w:asciiTheme="minorHAnsi" w:hAnsiTheme="minorHAnsi" w:cstheme="minorHAnsi"/>
          <w:b/>
          <w:sz w:val="22"/>
          <w:szCs w:val="22"/>
        </w:rPr>
        <w:t>do</w:t>
      </w:r>
      <w:r w:rsidR="00636A27" w:rsidRPr="0059682B">
        <w:rPr>
          <w:rFonts w:asciiTheme="minorHAnsi" w:hAnsiTheme="minorHAnsi" w:cstheme="minorHAnsi"/>
          <w:b/>
          <w:sz w:val="22"/>
          <w:szCs w:val="22"/>
        </w:rPr>
        <w:t xml:space="preserve"> </w:t>
      </w:r>
      <w:r w:rsidR="001901D3" w:rsidRPr="0059682B">
        <w:rPr>
          <w:rFonts w:asciiTheme="minorHAnsi" w:hAnsiTheme="minorHAnsi" w:cstheme="minorHAnsi"/>
          <w:b/>
          <w:sz w:val="22"/>
          <w:szCs w:val="22"/>
        </w:rPr>
        <w:t>čtyř týdnů od nabytí účinnosti smlouvy</w:t>
      </w:r>
      <w:r w:rsidR="00636A27" w:rsidRPr="0059682B">
        <w:rPr>
          <w:rFonts w:asciiTheme="minorHAnsi" w:hAnsiTheme="minorHAnsi" w:cstheme="minorHAnsi"/>
          <w:b/>
          <w:sz w:val="22"/>
          <w:szCs w:val="22"/>
        </w:rPr>
        <w:t>.</w:t>
      </w:r>
      <w:r w:rsidR="006B2876" w:rsidRPr="0059682B">
        <w:rPr>
          <w:rFonts w:asciiTheme="minorHAnsi" w:hAnsiTheme="minorHAnsi" w:cstheme="minorHAnsi"/>
          <w:sz w:val="22"/>
          <w:szCs w:val="22"/>
        </w:rPr>
        <w:t xml:space="preserve"> </w:t>
      </w:r>
      <w:r w:rsidR="00710F90" w:rsidRPr="0059682B">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215BAFA0" w:rsidR="0051082A"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556D4791" w14:textId="77777777" w:rsidR="004A4080" w:rsidRDefault="004A4080"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14BE3C07" w14:textId="77777777" w:rsidR="006B2FA6" w:rsidRPr="006B2876" w:rsidRDefault="006B2FA6" w:rsidP="004A4080">
      <w:pPr>
        <w:pStyle w:val="Zkladntextodsazen"/>
        <w:tabs>
          <w:tab w:val="clear" w:pos="357"/>
          <w:tab w:val="clear" w:pos="540"/>
          <w:tab w:val="clear" w:pos="1980"/>
        </w:tabs>
        <w:spacing w:after="120" w:line="276" w:lineRule="auto"/>
        <w:rPr>
          <w:rFonts w:asciiTheme="minorHAnsi" w:hAnsiTheme="minorHAnsi" w:cstheme="minorHAnsi"/>
          <w:sz w:val="22"/>
          <w:szCs w:val="22"/>
        </w:rPr>
      </w:pP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21DA8268"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476988">
        <w:rPr>
          <w:rFonts w:asciiTheme="minorHAnsi" w:hAnsiTheme="minorHAnsi" w:cstheme="minorHAnsi"/>
          <w:sz w:val="22"/>
          <w:szCs w:val="22"/>
        </w:rPr>
        <w:t>11</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76988">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ani do </w:t>
      </w:r>
      <w:r w:rsidR="005A0B86" w:rsidRPr="008A1CA6">
        <w:rPr>
          <w:rFonts w:asciiTheme="minorHAnsi" w:hAnsiTheme="minorHAnsi" w:cstheme="minorHAnsi"/>
          <w:sz w:val="22"/>
          <w:szCs w:val="22"/>
        </w:rPr>
        <w:t xml:space="preserve">pěti </w:t>
      </w:r>
      <w:r w:rsidRPr="008A1CA6">
        <w:rPr>
          <w:rFonts w:asciiTheme="minorHAnsi" w:hAnsiTheme="minorHAnsi" w:cstheme="minorHAnsi"/>
          <w:sz w:val="22"/>
          <w:szCs w:val="22"/>
        </w:rPr>
        <w:t>d</w:t>
      </w:r>
      <w:r w:rsidRPr="00836747">
        <w:rPr>
          <w:rFonts w:asciiTheme="minorHAnsi" w:hAnsiTheme="minorHAnsi" w:cstheme="minorHAnsi"/>
          <w:sz w:val="22"/>
          <w:szCs w:val="22"/>
        </w:rPr>
        <w:t>n</w:t>
      </w:r>
      <w:r w:rsidRPr="006B2876">
        <w:rPr>
          <w:rFonts w:asciiTheme="minorHAnsi" w:hAnsiTheme="minorHAnsi" w:cstheme="minorHAnsi"/>
          <w:sz w:val="22"/>
          <w:szCs w:val="22"/>
        </w:rPr>
        <w:t>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64DB2077" w14:textId="02094921" w:rsidR="0051082A" w:rsidRPr="008600E2" w:rsidRDefault="0051082A" w:rsidP="00FF5F08">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5795D75" w14:textId="681DDDDD"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veškeré informace poskytnuté prodávajícímu ve smyslu ustanovení § 218 zákona č. 134/2016 Sb., o zadávání veřejných zakázek, v platném znění,</w:t>
      </w:r>
    </w:p>
    <w:p w14:paraId="5C032CC4" w14:textId="0E2162EE" w:rsidR="0051082A" w:rsidRPr="008600E2"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8600E2">
        <w:rPr>
          <w:rFonts w:asciiTheme="minorHAnsi" w:hAnsiTheme="minorHAnsi" w:cstheme="minorHAnsi"/>
        </w:rPr>
        <w:t>informace, na které se vztahuje zákonem uložená povinnost mlčenlivosti (např. osobní údaje, utajované skutečnosti),</w:t>
      </w:r>
    </w:p>
    <w:p w14:paraId="00D93E30" w14:textId="00CD6241" w:rsidR="0051082A" w:rsidRPr="00FF5F08" w:rsidRDefault="0051082A" w:rsidP="00FF5F08">
      <w:pPr>
        <w:pStyle w:val="Odstavecseseznamem"/>
        <w:numPr>
          <w:ilvl w:val="0"/>
          <w:numId w:val="23"/>
        </w:numPr>
        <w:tabs>
          <w:tab w:val="left" w:pos="426"/>
        </w:tabs>
        <w:spacing w:before="120"/>
        <w:jc w:val="both"/>
        <w:rPr>
          <w:rFonts w:asciiTheme="minorHAnsi" w:hAnsiTheme="minorHAnsi" w:cstheme="minorHAnsi"/>
        </w:rPr>
      </w:pPr>
      <w:r w:rsidRPr="00FF5F08">
        <w:rPr>
          <w:rFonts w:asciiTheme="minorHAnsi" w:hAnsiTheme="minorHAnsi" w:cstheme="minorHAnsi"/>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AEDA514" w14:textId="77777777" w:rsidR="008600E2" w:rsidRDefault="008600E2"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0F3FE8D9" w14:textId="4A3268DC"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C7782" w14:textId="77777777" w:rsidR="008158A7" w:rsidRDefault="008158A7" w:rsidP="0051082A">
      <w:r>
        <w:separator/>
      </w:r>
    </w:p>
  </w:endnote>
  <w:endnote w:type="continuationSeparator" w:id="0">
    <w:p w14:paraId="0684462A" w14:textId="77777777" w:rsidR="008158A7" w:rsidRDefault="008158A7" w:rsidP="0051082A">
      <w:r>
        <w:continuationSeparator/>
      </w:r>
    </w:p>
  </w:endnote>
  <w:endnote w:type="continuationNotice" w:id="1">
    <w:p w14:paraId="435A6DD0" w14:textId="77777777" w:rsidR="008158A7" w:rsidRDefault="00815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FBB3" w14:textId="77777777" w:rsidR="008158A7" w:rsidRDefault="008158A7" w:rsidP="0051082A">
      <w:r>
        <w:separator/>
      </w:r>
    </w:p>
  </w:footnote>
  <w:footnote w:type="continuationSeparator" w:id="0">
    <w:p w14:paraId="0924C9A6" w14:textId="77777777" w:rsidR="008158A7" w:rsidRDefault="008158A7" w:rsidP="0051082A">
      <w:r>
        <w:continuationSeparator/>
      </w:r>
    </w:p>
  </w:footnote>
  <w:footnote w:type="continuationNotice" w:id="1">
    <w:p w14:paraId="58EA0254" w14:textId="77777777" w:rsidR="008158A7" w:rsidRDefault="00815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5CD400C7"/>
    <w:multiLevelType w:val="hybridMultilevel"/>
    <w:tmpl w:val="351E39A8"/>
    <w:lvl w:ilvl="0" w:tplc="0534F6E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5"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7"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6"/>
  </w:num>
  <w:num w:numId="3">
    <w:abstractNumId w:val="20"/>
  </w:num>
  <w:num w:numId="4">
    <w:abstractNumId w:val="4"/>
  </w:num>
  <w:num w:numId="5">
    <w:abstractNumId w:val="12"/>
  </w:num>
  <w:num w:numId="6">
    <w:abstractNumId w:val="9"/>
  </w:num>
  <w:num w:numId="7">
    <w:abstractNumId w:val="17"/>
  </w:num>
  <w:num w:numId="8">
    <w:abstractNumId w:val="8"/>
  </w:num>
  <w:num w:numId="9">
    <w:abstractNumId w:val="3"/>
  </w:num>
  <w:num w:numId="10">
    <w:abstractNumId w:val="0"/>
  </w:num>
  <w:num w:numId="11">
    <w:abstractNumId w:val="15"/>
  </w:num>
  <w:num w:numId="12">
    <w:abstractNumId w:val="21"/>
  </w:num>
  <w:num w:numId="13">
    <w:abstractNumId w:val="19"/>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02CF5"/>
    <w:rsid w:val="00010911"/>
    <w:rsid w:val="00014C73"/>
    <w:rsid w:val="00040D23"/>
    <w:rsid w:val="000508A6"/>
    <w:rsid w:val="0006471A"/>
    <w:rsid w:val="000709E4"/>
    <w:rsid w:val="00087BEF"/>
    <w:rsid w:val="000A51F6"/>
    <w:rsid w:val="000F544B"/>
    <w:rsid w:val="0011429B"/>
    <w:rsid w:val="00121AB4"/>
    <w:rsid w:val="00163832"/>
    <w:rsid w:val="00174CDA"/>
    <w:rsid w:val="00177511"/>
    <w:rsid w:val="0018259F"/>
    <w:rsid w:val="001901D3"/>
    <w:rsid w:val="00196966"/>
    <w:rsid w:val="001C65DA"/>
    <w:rsid w:val="001E1CB6"/>
    <w:rsid w:val="001E3AD2"/>
    <w:rsid w:val="00215AB7"/>
    <w:rsid w:val="0022251F"/>
    <w:rsid w:val="002237F2"/>
    <w:rsid w:val="00253842"/>
    <w:rsid w:val="00253D1B"/>
    <w:rsid w:val="00262EFB"/>
    <w:rsid w:val="00265D42"/>
    <w:rsid w:val="002721DE"/>
    <w:rsid w:val="002821C1"/>
    <w:rsid w:val="0029635E"/>
    <w:rsid w:val="002B7EA2"/>
    <w:rsid w:val="002D1ECA"/>
    <w:rsid w:val="002D310A"/>
    <w:rsid w:val="002E2842"/>
    <w:rsid w:val="002F79A3"/>
    <w:rsid w:val="003070F7"/>
    <w:rsid w:val="0030775F"/>
    <w:rsid w:val="00312419"/>
    <w:rsid w:val="00315958"/>
    <w:rsid w:val="0031606E"/>
    <w:rsid w:val="00320187"/>
    <w:rsid w:val="00342116"/>
    <w:rsid w:val="00350183"/>
    <w:rsid w:val="00383517"/>
    <w:rsid w:val="003B17E5"/>
    <w:rsid w:val="003C0E97"/>
    <w:rsid w:val="003C5316"/>
    <w:rsid w:val="003C6390"/>
    <w:rsid w:val="003C66E1"/>
    <w:rsid w:val="003D3870"/>
    <w:rsid w:val="003F5A00"/>
    <w:rsid w:val="004142BD"/>
    <w:rsid w:val="004524FD"/>
    <w:rsid w:val="00473D65"/>
    <w:rsid w:val="00476988"/>
    <w:rsid w:val="00481F70"/>
    <w:rsid w:val="00491A8A"/>
    <w:rsid w:val="004965B1"/>
    <w:rsid w:val="00497B36"/>
    <w:rsid w:val="004A4080"/>
    <w:rsid w:val="004D0944"/>
    <w:rsid w:val="004F334E"/>
    <w:rsid w:val="00500197"/>
    <w:rsid w:val="00500A4C"/>
    <w:rsid w:val="005019B0"/>
    <w:rsid w:val="0051082A"/>
    <w:rsid w:val="00521D53"/>
    <w:rsid w:val="00535209"/>
    <w:rsid w:val="005538AA"/>
    <w:rsid w:val="005743D2"/>
    <w:rsid w:val="0059682B"/>
    <w:rsid w:val="00597620"/>
    <w:rsid w:val="005A05A7"/>
    <w:rsid w:val="005A0B86"/>
    <w:rsid w:val="005A2F9A"/>
    <w:rsid w:val="005A4870"/>
    <w:rsid w:val="005A6254"/>
    <w:rsid w:val="005B6050"/>
    <w:rsid w:val="005B7875"/>
    <w:rsid w:val="005C4499"/>
    <w:rsid w:val="005E6A13"/>
    <w:rsid w:val="005E6E52"/>
    <w:rsid w:val="006063DB"/>
    <w:rsid w:val="00607D5A"/>
    <w:rsid w:val="0061391D"/>
    <w:rsid w:val="00622B2D"/>
    <w:rsid w:val="00627F71"/>
    <w:rsid w:val="00636A27"/>
    <w:rsid w:val="00644D5E"/>
    <w:rsid w:val="006479B8"/>
    <w:rsid w:val="00655A37"/>
    <w:rsid w:val="00661CD8"/>
    <w:rsid w:val="00683588"/>
    <w:rsid w:val="006A7CF5"/>
    <w:rsid w:val="006B26CF"/>
    <w:rsid w:val="006B2876"/>
    <w:rsid w:val="006B2FA6"/>
    <w:rsid w:val="006C19A7"/>
    <w:rsid w:val="006C22DD"/>
    <w:rsid w:val="006C3335"/>
    <w:rsid w:val="006C4A07"/>
    <w:rsid w:val="00706CDC"/>
    <w:rsid w:val="00706DE6"/>
    <w:rsid w:val="00707588"/>
    <w:rsid w:val="00710F90"/>
    <w:rsid w:val="007142EF"/>
    <w:rsid w:val="007221F8"/>
    <w:rsid w:val="007225ED"/>
    <w:rsid w:val="00733C96"/>
    <w:rsid w:val="007563CB"/>
    <w:rsid w:val="0076401E"/>
    <w:rsid w:val="00790930"/>
    <w:rsid w:val="007A1B6B"/>
    <w:rsid w:val="007B7032"/>
    <w:rsid w:val="007C4668"/>
    <w:rsid w:val="007D1BC5"/>
    <w:rsid w:val="007E2544"/>
    <w:rsid w:val="007F7A70"/>
    <w:rsid w:val="008158A7"/>
    <w:rsid w:val="008267C5"/>
    <w:rsid w:val="00832042"/>
    <w:rsid w:val="00833492"/>
    <w:rsid w:val="00836747"/>
    <w:rsid w:val="00845493"/>
    <w:rsid w:val="008470F7"/>
    <w:rsid w:val="008579FE"/>
    <w:rsid w:val="008600E2"/>
    <w:rsid w:val="008650C3"/>
    <w:rsid w:val="0087055D"/>
    <w:rsid w:val="00871285"/>
    <w:rsid w:val="0088208F"/>
    <w:rsid w:val="008A1CA6"/>
    <w:rsid w:val="008C61AF"/>
    <w:rsid w:val="008D7262"/>
    <w:rsid w:val="008D7524"/>
    <w:rsid w:val="008F306E"/>
    <w:rsid w:val="00904337"/>
    <w:rsid w:val="009109AA"/>
    <w:rsid w:val="00927D56"/>
    <w:rsid w:val="00935BD4"/>
    <w:rsid w:val="0093798C"/>
    <w:rsid w:val="009832C9"/>
    <w:rsid w:val="00994DB2"/>
    <w:rsid w:val="009D54C4"/>
    <w:rsid w:val="009D6269"/>
    <w:rsid w:val="009E1BBE"/>
    <w:rsid w:val="009F4DBC"/>
    <w:rsid w:val="00A109C7"/>
    <w:rsid w:val="00A12360"/>
    <w:rsid w:val="00A2680A"/>
    <w:rsid w:val="00A3049D"/>
    <w:rsid w:val="00A325C4"/>
    <w:rsid w:val="00A407F6"/>
    <w:rsid w:val="00A460E7"/>
    <w:rsid w:val="00A77625"/>
    <w:rsid w:val="00AD2FA3"/>
    <w:rsid w:val="00AD7A1F"/>
    <w:rsid w:val="00AE33DB"/>
    <w:rsid w:val="00AF3EBA"/>
    <w:rsid w:val="00B055D3"/>
    <w:rsid w:val="00B10607"/>
    <w:rsid w:val="00B4258D"/>
    <w:rsid w:val="00B6095E"/>
    <w:rsid w:val="00B630B3"/>
    <w:rsid w:val="00B714DD"/>
    <w:rsid w:val="00B75924"/>
    <w:rsid w:val="00BB26B9"/>
    <w:rsid w:val="00BB338F"/>
    <w:rsid w:val="00BB47E4"/>
    <w:rsid w:val="00BB4B06"/>
    <w:rsid w:val="00BC1048"/>
    <w:rsid w:val="00BC3732"/>
    <w:rsid w:val="00BD7536"/>
    <w:rsid w:val="00BE6461"/>
    <w:rsid w:val="00BF4A64"/>
    <w:rsid w:val="00C33754"/>
    <w:rsid w:val="00C4447C"/>
    <w:rsid w:val="00C50EBE"/>
    <w:rsid w:val="00C5192F"/>
    <w:rsid w:val="00C63C46"/>
    <w:rsid w:val="00C76A5A"/>
    <w:rsid w:val="00C86860"/>
    <w:rsid w:val="00C9082E"/>
    <w:rsid w:val="00C956BC"/>
    <w:rsid w:val="00CA5E17"/>
    <w:rsid w:val="00CB2853"/>
    <w:rsid w:val="00CC1A8D"/>
    <w:rsid w:val="00CD4443"/>
    <w:rsid w:val="00CD6A23"/>
    <w:rsid w:val="00CF3296"/>
    <w:rsid w:val="00D1138A"/>
    <w:rsid w:val="00D14CB4"/>
    <w:rsid w:val="00D26D7D"/>
    <w:rsid w:val="00D2741A"/>
    <w:rsid w:val="00D30AF4"/>
    <w:rsid w:val="00D378AC"/>
    <w:rsid w:val="00D57142"/>
    <w:rsid w:val="00D67A0C"/>
    <w:rsid w:val="00D80D1B"/>
    <w:rsid w:val="00D818B2"/>
    <w:rsid w:val="00D84B57"/>
    <w:rsid w:val="00DA034B"/>
    <w:rsid w:val="00DA11A2"/>
    <w:rsid w:val="00DB2503"/>
    <w:rsid w:val="00DC2140"/>
    <w:rsid w:val="00E20B5A"/>
    <w:rsid w:val="00E20D8E"/>
    <w:rsid w:val="00E25A0F"/>
    <w:rsid w:val="00E26566"/>
    <w:rsid w:val="00E30E25"/>
    <w:rsid w:val="00E6455F"/>
    <w:rsid w:val="00E71294"/>
    <w:rsid w:val="00E72256"/>
    <w:rsid w:val="00E938B9"/>
    <w:rsid w:val="00EB26A4"/>
    <w:rsid w:val="00EB490E"/>
    <w:rsid w:val="00EB7F60"/>
    <w:rsid w:val="00EC3A58"/>
    <w:rsid w:val="00ED1F9B"/>
    <w:rsid w:val="00ED4F97"/>
    <w:rsid w:val="00F0052C"/>
    <w:rsid w:val="00F41539"/>
    <w:rsid w:val="00F41EE3"/>
    <w:rsid w:val="00F47269"/>
    <w:rsid w:val="00F515DA"/>
    <w:rsid w:val="00F5656E"/>
    <w:rsid w:val="00F62D86"/>
    <w:rsid w:val="00F6303A"/>
    <w:rsid w:val="00F70556"/>
    <w:rsid w:val="00F77860"/>
    <w:rsid w:val="00FA6256"/>
    <w:rsid w:val="00FB0B10"/>
    <w:rsid w:val="00FB29F7"/>
    <w:rsid w:val="00FD02D8"/>
    <w:rsid w:val="00FD20FF"/>
    <w:rsid w:val="00FE1D18"/>
    <w:rsid w:val="00FF26C2"/>
    <w:rsid w:val="00FF5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22251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2251F"/>
    <w:rPr>
      <w:color w:val="808080"/>
    </w:rPr>
  </w:style>
  <w:style w:type="paragraph" w:styleId="Datum">
    <w:name w:val="Date"/>
    <w:basedOn w:val="Normln"/>
    <w:next w:val="Normln"/>
    <w:link w:val="DatumChar"/>
    <w:uiPriority w:val="99"/>
    <w:semiHidden/>
    <w:unhideWhenUsed/>
    <w:rsid w:val="0022251F"/>
  </w:style>
  <w:style w:type="character" w:customStyle="1" w:styleId="DatumChar">
    <w:name w:val="Datum Char"/>
    <w:basedOn w:val="Standardnpsmoodstavce"/>
    <w:link w:val="Datum"/>
    <w:uiPriority w:val="99"/>
    <w:semiHidden/>
    <w:rsid w:val="00222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a.pastrna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38FB0618194B598EF58AF8785E37CB"/>
        <w:category>
          <w:name w:val="Obecné"/>
          <w:gallery w:val="placeholder"/>
        </w:category>
        <w:types>
          <w:type w:val="bbPlcHdr"/>
        </w:types>
        <w:behaviors>
          <w:behavior w:val="content"/>
        </w:behaviors>
        <w:guid w:val="{8428928A-4085-4CE3-A905-F025A8D17654}"/>
      </w:docPartPr>
      <w:docPartBody>
        <w:p w:rsidR="00000000" w:rsidRDefault="00CE2D70" w:rsidP="00CE2D70">
          <w:pPr>
            <w:pStyle w:val="5F38FB0618194B598EF58AF8785E37C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70"/>
    <w:rsid w:val="00CE2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2D70"/>
    <w:rPr>
      <w:color w:val="808080"/>
    </w:rPr>
  </w:style>
  <w:style w:type="paragraph" w:customStyle="1" w:styleId="5F38FB0618194B598EF58AF8785E37CB">
    <w:name w:val="5F38FB0618194B598EF58AF8785E37CB"/>
    <w:rsid w:val="00CE2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6D20E-9516-4731-96DA-5B96902526A7}">
  <ds:schemaRefs>
    <ds:schemaRef ds:uri="http://schemas.openxmlformats.org/officeDocument/2006/bibliography"/>
  </ds:schemaRefs>
</ds:datastoreItem>
</file>

<file path=customXml/itemProps2.xml><?xml version="1.0" encoding="utf-8"?>
<ds:datastoreItem xmlns:ds="http://schemas.openxmlformats.org/officeDocument/2006/customXml" ds:itemID="{98BF8483-8A7A-4BF3-8E0A-3ECF7120E9EF}">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2689e5ef-b689-49c9-8c09-292069686d26"/>
    <ds:schemaRef ds:uri="ec2f4b39-f176-4bbd-ae6a-585b00274a7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20B40-67E6-4624-84AE-669A8EDD4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2338</Words>
  <Characters>14451</Characters>
  <Application>Microsoft Office Word</Application>
  <DocSecurity>0</DocSecurity>
  <Lines>307</Lines>
  <Paragraphs>148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26</cp:revision>
  <dcterms:created xsi:type="dcterms:W3CDTF">2024-10-02T09:26:00Z</dcterms:created>
  <dcterms:modified xsi:type="dcterms:W3CDTF">2025-06-26T09:02:00Z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