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3B49AA6F" w14:textId="08BFE5B4" w:rsidR="00CE1DD2" w:rsidRPr="004B36D2" w:rsidRDefault="00901988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901988">
        <w:rPr>
          <w:rFonts w:ascii="Tahoma" w:hAnsi="Tahoma" w:cs="Tahoma"/>
          <w:b/>
          <w:sz w:val="21"/>
          <w:szCs w:val="18"/>
          <w:u w:val="single"/>
        </w:rPr>
        <w:t xml:space="preserve">Sestava univerzálních </w:t>
      </w:r>
      <w:proofErr w:type="spellStart"/>
      <w:r w:rsidRPr="00901988">
        <w:rPr>
          <w:rFonts w:ascii="Tahoma" w:hAnsi="Tahoma" w:cs="Tahoma"/>
          <w:b/>
          <w:sz w:val="21"/>
          <w:szCs w:val="18"/>
          <w:u w:val="single"/>
        </w:rPr>
        <w:t>dataloggerů</w:t>
      </w:r>
      <w:proofErr w:type="spellEnd"/>
      <w:r w:rsidRPr="00901988">
        <w:rPr>
          <w:rFonts w:ascii="Tahoma" w:hAnsi="Tahoma" w:cs="Tahoma"/>
          <w:b/>
          <w:sz w:val="21"/>
          <w:szCs w:val="18"/>
          <w:u w:val="single"/>
        </w:rPr>
        <w:t xml:space="preserve"> s analýzou signálů včetně senzorů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07076C22" w14:textId="207D54EC" w:rsidR="00A05185" w:rsidRDefault="00EA1365" w:rsidP="00EA1365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A1365">
        <w:rPr>
          <w:rFonts w:ascii="Tahoma" w:hAnsi="Tahoma" w:cs="Tahoma"/>
          <w:sz w:val="20"/>
          <w:szCs w:val="20"/>
        </w:rPr>
        <w:t xml:space="preserve">Předmětem dodávky je </w:t>
      </w:r>
      <w:r w:rsidR="00901988">
        <w:rPr>
          <w:rFonts w:ascii="Tahoma" w:hAnsi="Tahoma" w:cs="Tahoma"/>
          <w:sz w:val="20"/>
          <w:szCs w:val="20"/>
        </w:rPr>
        <w:t>s</w:t>
      </w:r>
      <w:r w:rsidR="00901988" w:rsidRPr="00901988">
        <w:rPr>
          <w:rFonts w:ascii="Tahoma" w:hAnsi="Tahoma" w:cs="Tahoma"/>
          <w:sz w:val="20"/>
          <w:szCs w:val="20"/>
        </w:rPr>
        <w:t xml:space="preserve">estava univerzálních </w:t>
      </w:r>
      <w:proofErr w:type="spellStart"/>
      <w:r w:rsidR="00901988" w:rsidRPr="00901988">
        <w:rPr>
          <w:rFonts w:ascii="Tahoma" w:hAnsi="Tahoma" w:cs="Tahoma"/>
          <w:sz w:val="20"/>
          <w:szCs w:val="20"/>
        </w:rPr>
        <w:t>dataloggerů</w:t>
      </w:r>
      <w:proofErr w:type="spellEnd"/>
      <w:r w:rsidR="00901988" w:rsidRPr="00901988">
        <w:rPr>
          <w:rFonts w:ascii="Tahoma" w:hAnsi="Tahoma" w:cs="Tahoma"/>
          <w:sz w:val="20"/>
          <w:szCs w:val="20"/>
        </w:rPr>
        <w:t xml:space="preserve"> s analýzou signálů včetně senzorů</w:t>
      </w:r>
      <w:r w:rsidR="00901988">
        <w:rPr>
          <w:rFonts w:ascii="Tahoma" w:hAnsi="Tahoma" w:cs="Tahoma"/>
          <w:sz w:val="20"/>
          <w:szCs w:val="20"/>
        </w:rPr>
        <w:t>, software a příslušenství</w:t>
      </w:r>
      <w:r w:rsidRPr="00EA1365">
        <w:rPr>
          <w:rFonts w:ascii="Tahoma" w:hAnsi="Tahoma" w:cs="Tahoma"/>
          <w:sz w:val="20"/>
          <w:szCs w:val="20"/>
        </w:rPr>
        <w:t>.</w:t>
      </w:r>
    </w:p>
    <w:p w14:paraId="297E655B" w14:textId="5370207A" w:rsidR="00AA53CC" w:rsidRDefault="00223440" w:rsidP="00AE63C8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781C6D">
        <w:rPr>
          <w:rFonts w:ascii="Tahoma" w:hAnsi="Tahoma" w:cs="Tahoma"/>
          <w:sz w:val="20"/>
          <w:szCs w:val="20"/>
        </w:rPr>
        <w:t>Součástí předmětu plnění je rovněž doprava do místa plnění</w:t>
      </w:r>
      <w:r w:rsidR="00901988">
        <w:rPr>
          <w:rFonts w:ascii="Tahoma" w:hAnsi="Tahoma" w:cs="Tahoma"/>
          <w:sz w:val="20"/>
          <w:szCs w:val="20"/>
        </w:rPr>
        <w:t xml:space="preserve"> a zaškolení obsluhy</w:t>
      </w:r>
      <w:r w:rsidR="00F80CB6" w:rsidRPr="00781C6D">
        <w:rPr>
          <w:rFonts w:ascii="Tahoma" w:hAnsi="Tahoma" w:cs="Tahoma"/>
          <w:sz w:val="20"/>
          <w:szCs w:val="20"/>
        </w:rPr>
        <w:t>.</w:t>
      </w:r>
    </w:p>
    <w:p w14:paraId="7C0B0BD7" w14:textId="77777777" w:rsidR="007B480C" w:rsidRDefault="007B480C" w:rsidP="00AE63C8">
      <w:pPr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48C34CE0" w14:textId="65F3FE1A" w:rsidR="00793A0B" w:rsidRPr="00AE63C8" w:rsidRDefault="00901988" w:rsidP="00AE63C8">
      <w:p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01988">
        <w:rPr>
          <w:rFonts w:ascii="Tahoma" w:hAnsi="Tahoma" w:cs="Tahoma"/>
          <w:b/>
          <w:sz w:val="20"/>
          <w:szCs w:val="16"/>
        </w:rPr>
        <w:t xml:space="preserve">Sestava univerzálních </w:t>
      </w:r>
      <w:proofErr w:type="spellStart"/>
      <w:r w:rsidRPr="00901988">
        <w:rPr>
          <w:rFonts w:ascii="Tahoma" w:hAnsi="Tahoma" w:cs="Tahoma"/>
          <w:b/>
          <w:sz w:val="20"/>
          <w:szCs w:val="16"/>
        </w:rPr>
        <w:t>dataloggerů</w:t>
      </w:r>
      <w:proofErr w:type="spellEnd"/>
      <w:r w:rsidR="003225BA">
        <w:rPr>
          <w:rFonts w:ascii="Tahoma" w:hAnsi="Tahoma" w:cs="Tahoma"/>
          <w:b/>
          <w:sz w:val="20"/>
          <w:szCs w:val="16"/>
        </w:rPr>
        <w:t xml:space="preserve"> mus</w:t>
      </w:r>
      <w:r w:rsidR="00AE63C8"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 w:rsidR="003225BA">
        <w:rPr>
          <w:rFonts w:ascii="Tahoma" w:hAnsi="Tahoma" w:cs="Tahoma"/>
          <w:b/>
          <w:sz w:val="20"/>
          <w:szCs w:val="16"/>
        </w:rPr>
        <w:t xml:space="preserve"> a</w:t>
      </w:r>
      <w:r w:rsidR="00715D9B">
        <w:rPr>
          <w:rFonts w:ascii="Tahoma" w:hAnsi="Tahoma" w:cs="Tahoma"/>
          <w:b/>
          <w:sz w:val="20"/>
          <w:szCs w:val="16"/>
        </w:rPr>
        <w:t> </w:t>
      </w:r>
      <w:r w:rsidR="003225BA">
        <w:rPr>
          <w:rFonts w:ascii="Tahoma" w:hAnsi="Tahoma" w:cs="Tahoma"/>
          <w:b/>
          <w:sz w:val="20"/>
          <w:szCs w:val="16"/>
        </w:rPr>
        <w:t>obsahovat minimálně</w:t>
      </w:r>
      <w:r w:rsidR="00793A0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290"/>
        <w:gridCol w:w="63"/>
      </w:tblGrid>
      <w:tr w:rsidR="00D379A5" w:rsidRPr="004F2FE7" w14:paraId="71F88517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1800" w14:textId="7777777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CA7DAE" w14:textId="21A71BF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</w:tr>
      <w:tr w:rsidR="00D379A5" w:rsidRPr="004F2FE7" w14:paraId="44DDC104" w14:textId="44284195" w:rsidTr="00715D9B">
        <w:trPr>
          <w:trHeight w:val="567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44EC" w14:textId="61680672" w:rsidR="00D379A5" w:rsidRPr="004F2FE7" w:rsidRDefault="00901988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A.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 xml:space="preserve">Společné parametry pro Univerzální </w:t>
            </w:r>
            <w:proofErr w:type="spell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dataloggery</w:t>
            </w:r>
            <w:proofErr w:type="spell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I. + II.</w:t>
            </w:r>
          </w:p>
        </w:tc>
      </w:tr>
      <w:tr w:rsidR="006B7B86" w:rsidRPr="004F2FE7" w14:paraId="2DEB44E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859" w14:textId="57A15F3C" w:rsidR="006B7B86" w:rsidRPr="004F2FE7" w:rsidRDefault="006B7B86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Možnost napájení ze sítě (230 VAC)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52E" w14:textId="58A3FD5C" w:rsidR="006B7B86" w:rsidRPr="004F2FE7" w:rsidRDefault="002A5200" w:rsidP="006B7B8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6B7B86" w:rsidRPr="004F2FE7" w14:paraId="6BFCD991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16F" w14:textId="664498E3" w:rsidR="006B7B86" w:rsidRPr="004F2FE7" w:rsidRDefault="002A5200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R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>ozsah DC napájecího napětí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B6A" w14:textId="4474459E" w:rsidR="006B7B86" w:rsidRPr="004F2FE7" w:rsidRDefault="002A5200" w:rsidP="006B7B8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alespoň 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>10 až 36 V</w:t>
            </w:r>
          </w:p>
        </w:tc>
      </w:tr>
      <w:tr w:rsidR="006B7B86" w:rsidRPr="004F2FE7" w14:paraId="5A948A7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AAD" w14:textId="48C55BDE" w:rsidR="006B7B86" w:rsidRPr="004F2FE7" w:rsidRDefault="006B7B86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Napájecí zdroje a kabeláž potřebná pro funkci celého poptávaného zařízení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503" w14:textId="0504638C" w:rsidR="006B7B86" w:rsidRPr="004F2FE7" w:rsidRDefault="002A5200" w:rsidP="006B7B8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6B7B86" w:rsidRPr="004F2FE7" w14:paraId="626F670F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91D" w14:textId="4B84D936" w:rsidR="006B7B86" w:rsidRPr="004F2FE7" w:rsidRDefault="002A5200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R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>ozsah provozních teplot (předehřáté zařízení)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7FB" w14:textId="2B110877" w:rsidR="006B7B86" w:rsidRPr="004F2FE7" w:rsidRDefault="002A5200" w:rsidP="002A5200">
            <w:pPr>
              <w:spacing w:after="0" w:line="240" w:lineRule="auto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alespoň 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>-10 °C až 50 °C</w:t>
            </w:r>
          </w:p>
        </w:tc>
      </w:tr>
      <w:tr w:rsidR="006B7B86" w:rsidRPr="004F2FE7" w14:paraId="79EE8C32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1B2" w14:textId="4DCC94CE" w:rsidR="006B7B86" w:rsidRPr="004F2FE7" w:rsidRDefault="002A5200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H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 xml:space="preserve">motnost sestavy </w:t>
            </w:r>
            <w:proofErr w:type="spellStart"/>
            <w:r w:rsidR="006B7B86" w:rsidRPr="004F2FE7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="006B7B86" w:rsidRPr="004F2FE7">
              <w:rPr>
                <w:rFonts w:ascii="Tahoma" w:hAnsi="Tahoma" w:cs="Tahoma"/>
                <w:sz w:val="20"/>
                <w:szCs w:val="20"/>
              </w:rPr>
              <w:t xml:space="preserve"> I. + II. (kg)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2CB" w14:textId="57F9CBB7" w:rsidR="006B7B86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>23 kg</w:t>
            </w:r>
          </w:p>
        </w:tc>
      </w:tr>
      <w:tr w:rsidR="006B7B86" w:rsidRPr="004F2FE7" w14:paraId="6B49717D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7A" w14:textId="660F8D1B" w:rsidR="006B7B86" w:rsidRPr="004F2FE7" w:rsidRDefault="002A5200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R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 xml:space="preserve">ozměry jednoho </w:t>
            </w:r>
            <w:proofErr w:type="spellStart"/>
            <w:r w:rsidR="006B7B86" w:rsidRPr="004F2FE7">
              <w:rPr>
                <w:rFonts w:ascii="Tahoma" w:hAnsi="Tahoma" w:cs="Tahoma"/>
                <w:sz w:val="20"/>
                <w:szCs w:val="20"/>
              </w:rPr>
              <w:t>dataloggeru</w:t>
            </w:r>
            <w:proofErr w:type="spellEnd"/>
            <w:r w:rsidR="006B7B86" w:rsidRPr="004F2FE7">
              <w:rPr>
                <w:rFonts w:ascii="Tahoma" w:hAnsi="Tahoma" w:cs="Tahoma"/>
                <w:sz w:val="20"/>
                <w:szCs w:val="20"/>
              </w:rPr>
              <w:t>. Nesmí být překročen ani jeden rozměr. (cm)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192" w14:textId="05C6D7CF" w:rsidR="006B7B86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6B7B86" w:rsidRPr="004F2FE7">
              <w:rPr>
                <w:rFonts w:ascii="Tahoma" w:hAnsi="Tahoma" w:cs="Tahoma"/>
                <w:sz w:val="20"/>
                <w:szCs w:val="20"/>
              </w:rPr>
              <w:t>32 x 26 x 13 cm</w:t>
            </w:r>
          </w:p>
        </w:tc>
      </w:tr>
      <w:tr w:rsidR="006B7B86" w:rsidRPr="004F2FE7" w14:paraId="3AA5A0A5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D98" w14:textId="381B0F89" w:rsidR="006B7B86" w:rsidRPr="004F2FE7" w:rsidRDefault="002A5200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t>P</w:t>
            </w:r>
            <w:r w:rsidR="006B7B86" w:rsidRPr="004F2FE7">
              <w:rPr>
                <w:rFonts w:ascii="Tahoma" w:eastAsia="Calibri" w:hAnsi="Tahoma" w:cs="Tahoma"/>
                <w:sz w:val="20"/>
                <w:szCs w:val="20"/>
              </w:rPr>
              <w:t>očet digitálních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C91" w14:textId="5873B8B7" w:rsidR="006B7B86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  <w:lang w:val="en-US"/>
              </w:rPr>
              <w:t xml:space="preserve">min. </w:t>
            </w:r>
            <w:r w:rsidR="006B7B86" w:rsidRPr="004F2FE7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</w:p>
        </w:tc>
      </w:tr>
      <w:tr w:rsidR="006B7B86" w:rsidRPr="004F2FE7" w14:paraId="4B35AED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AF" w14:textId="6C3628A8" w:rsidR="006B7B86" w:rsidRPr="004F2FE7" w:rsidRDefault="002A5200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t>P</w:t>
            </w:r>
            <w:r w:rsidR="006B7B86" w:rsidRPr="004F2FE7">
              <w:rPr>
                <w:rFonts w:ascii="Tahoma" w:eastAsia="Calibri" w:hAnsi="Tahoma" w:cs="Tahoma"/>
                <w:sz w:val="20"/>
                <w:szCs w:val="20"/>
              </w:rPr>
              <w:t>očet digitálních výstupů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585" w14:textId="6954F631" w:rsidR="006B7B86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  <w:lang w:val="en-US"/>
              </w:rPr>
              <w:t xml:space="preserve">min. </w:t>
            </w:r>
            <w:r w:rsidR="006B7B86" w:rsidRPr="004F2FE7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</w:p>
        </w:tc>
      </w:tr>
      <w:tr w:rsidR="006B7B86" w:rsidRPr="004F2FE7" w14:paraId="158565E6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05D" w14:textId="74C2A08D" w:rsidR="006B7B86" w:rsidRPr="004F2FE7" w:rsidRDefault="006B7B86" w:rsidP="006B7B86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Sada potřebné kabeláže </w:t>
            </w:r>
            <w:r w:rsidRPr="004F2FE7">
              <w:rPr>
                <w:rFonts w:ascii="Tahoma" w:eastAsia="Calibri" w:hAnsi="Tahoma" w:cs="Tahoma"/>
                <w:sz w:val="20"/>
                <w:szCs w:val="20"/>
              </w:rPr>
              <w:t>s délkou alespoň 1</w:t>
            </w:r>
            <w:r w:rsidR="002A5200" w:rsidRPr="004F2FE7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4F2FE7">
              <w:rPr>
                <w:rFonts w:ascii="Tahoma" w:eastAsia="Calibri" w:hAnsi="Tahoma" w:cs="Tahoma"/>
                <w:sz w:val="20"/>
                <w:szCs w:val="20"/>
              </w:rPr>
              <w:t>m a</w:t>
            </w:r>
            <w:r w:rsidRPr="004F2FE7">
              <w:rPr>
                <w:rFonts w:ascii="Tahoma" w:hAnsi="Tahoma" w:cs="Tahoma"/>
                <w:sz w:val="20"/>
                <w:szCs w:val="20"/>
              </w:rPr>
              <w:t xml:space="preserve"> s konektory pro připojení všech </w:t>
            </w:r>
            <w:r w:rsidRPr="004F2FE7">
              <w:rPr>
                <w:rFonts w:ascii="Tahoma" w:eastAsia="Calibri" w:hAnsi="Tahoma" w:cs="Tahoma"/>
                <w:sz w:val="20"/>
                <w:szCs w:val="20"/>
              </w:rPr>
              <w:t xml:space="preserve">digitálních vstupů i výstupů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936" w14:textId="033968D2" w:rsidR="006B7B86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6B7B86" w:rsidRPr="004F2FE7" w14:paraId="29DD1435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8C5E" w14:textId="77777777" w:rsidR="002A5200" w:rsidRPr="004F2FE7" w:rsidRDefault="002A5200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Jedna sada vodičů a příslušenství společná pro všechny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dataloggery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. Vysvětlení níže užitého písmenného označení barev RGBY: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Red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, Green, Blue,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Yellow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91769EA" w14:textId="42067B70" w:rsidR="002A5200" w:rsidRPr="004F2FE7" w:rsidRDefault="002A5200" w:rsidP="002A5200">
            <w:pPr>
              <w:pStyle w:val="Odstavecseseznamem"/>
              <w:keepLines/>
              <w:numPr>
                <w:ilvl w:val="0"/>
                <w:numId w:val="20"/>
              </w:numPr>
              <w:tabs>
                <w:tab w:val="left" w:pos="421"/>
              </w:tabs>
              <w:spacing w:before="60" w:after="0" w:line="240" w:lineRule="auto"/>
              <w:ind w:left="453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signálový vodič se silikonovou izolací a bezpečnostními stohovatelnými banánky min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600V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CAT III / 1000V CAT II, proud 16A, délka 25-50 cm, (4 barvy (RGBY) x 4ks), </w:t>
            </w:r>
          </w:p>
          <w:p w14:paraId="2CF83555" w14:textId="5B4F1C1F" w:rsidR="002A5200" w:rsidRPr="004F2FE7" w:rsidRDefault="002A5200" w:rsidP="002A5200">
            <w:pPr>
              <w:pStyle w:val="Odstavecseseznamem"/>
              <w:keepLines/>
              <w:numPr>
                <w:ilvl w:val="0"/>
                <w:numId w:val="20"/>
              </w:numPr>
              <w:tabs>
                <w:tab w:val="left" w:pos="421"/>
              </w:tabs>
              <w:spacing w:before="60" w:after="0" w:line="240" w:lineRule="auto"/>
              <w:ind w:left="453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signálový vodič se silikonovou izolací a bezpečnostními stohovatelnými banánky min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600V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CAT III / 1000V CAT II, proud 16A, délka 200cm, (4 barvy (RGBY) x 4ks), </w:t>
            </w:r>
          </w:p>
          <w:p w14:paraId="5453B236" w14:textId="0C4BFB3A" w:rsidR="002A5200" w:rsidRPr="004F2FE7" w:rsidRDefault="002A5200" w:rsidP="002A5200">
            <w:pPr>
              <w:pStyle w:val="Odstavecseseznamem"/>
              <w:keepLines/>
              <w:numPr>
                <w:ilvl w:val="0"/>
                <w:numId w:val="20"/>
              </w:numPr>
              <w:tabs>
                <w:tab w:val="left" w:pos="421"/>
              </w:tabs>
              <w:spacing w:before="60" w:after="0" w:line="240" w:lineRule="auto"/>
              <w:ind w:left="453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bezpečná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krokosvorka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, min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600V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CAT III / 1000V CAT II, (4 barvy (RGBY) x 4ks)</w:t>
            </w:r>
          </w:p>
          <w:p w14:paraId="5C3062B5" w14:textId="34B5F853" w:rsidR="002A5200" w:rsidRPr="004F2FE7" w:rsidRDefault="002A5200" w:rsidP="002A5200">
            <w:pPr>
              <w:pStyle w:val="Odstavecseseznamem"/>
              <w:keepLines/>
              <w:numPr>
                <w:ilvl w:val="0"/>
                <w:numId w:val="20"/>
              </w:numPr>
              <w:tabs>
                <w:tab w:val="left" w:pos="421"/>
              </w:tabs>
              <w:spacing w:before="60" w:after="0" w:line="240" w:lineRule="auto"/>
              <w:ind w:left="453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bezpečná chňapka na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Cu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plochou přípojnici, min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600V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CAT III / 1000V CAT II, (4 barvy (RGBY) x 4ks)</w:t>
            </w:r>
          </w:p>
          <w:p w14:paraId="23825707" w14:textId="35C2D334" w:rsidR="002A5200" w:rsidRPr="004F2FE7" w:rsidRDefault="002A5200" w:rsidP="002A5200">
            <w:pPr>
              <w:pStyle w:val="Odstavecseseznamem"/>
              <w:keepLines/>
              <w:numPr>
                <w:ilvl w:val="0"/>
                <w:numId w:val="20"/>
              </w:numPr>
              <w:tabs>
                <w:tab w:val="left" w:pos="421"/>
              </w:tabs>
              <w:spacing w:before="60" w:after="0" w:line="240" w:lineRule="auto"/>
              <w:ind w:left="453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redukce bezpečného banánku na obyčejný, černá barva, 16ks</w:t>
            </w:r>
          </w:p>
          <w:p w14:paraId="4017A6A4" w14:textId="66FB26C2" w:rsidR="006B7B86" w:rsidRPr="004F2FE7" w:rsidRDefault="002A5200" w:rsidP="002A5200">
            <w:pPr>
              <w:pStyle w:val="Odstavecseseznamem"/>
              <w:keepLines/>
              <w:numPr>
                <w:ilvl w:val="0"/>
                <w:numId w:val="20"/>
              </w:numPr>
              <w:tabs>
                <w:tab w:val="left" w:pos="421"/>
              </w:tabs>
              <w:spacing w:before="60" w:after="0" w:line="240" w:lineRule="auto"/>
              <w:ind w:left="453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redukce bezpečného banánku na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Cu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vodič, černá barva, 16ks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7C7" w14:textId="4C76ECCC" w:rsidR="006B7B86" w:rsidRPr="004F2FE7" w:rsidRDefault="002A5200" w:rsidP="003225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3590B731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583" w14:textId="57AAA093" w:rsidR="002A5200" w:rsidRPr="004F2FE7" w:rsidRDefault="002A5200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t xml:space="preserve">Komunikační rozhraní pro ovládání HW, přenos dat a časovou synchronizaci: </w:t>
            </w:r>
            <w:proofErr w:type="spellStart"/>
            <w:r w:rsidRPr="004F2FE7">
              <w:rPr>
                <w:rFonts w:ascii="Tahoma" w:eastAsia="Calibri" w:hAnsi="Tahoma" w:cs="Tahoma"/>
                <w:sz w:val="20"/>
                <w:szCs w:val="20"/>
              </w:rPr>
              <w:t>GbitEthernet</w:t>
            </w:r>
            <w:proofErr w:type="spellEnd"/>
            <w:r w:rsidRPr="004F2FE7">
              <w:rPr>
                <w:rFonts w:ascii="Tahoma" w:eastAsia="Calibri" w:hAnsi="Tahoma" w:cs="Tahoma"/>
                <w:sz w:val="20"/>
                <w:szCs w:val="20"/>
              </w:rPr>
              <w:t xml:space="preserve"> s podporou časové synchronizace přes Ethernet IEEE 1588v2, PTP.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8C3" w14:textId="168196A9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1CC21DA3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E7E" w14:textId="557568B2" w:rsidR="002A5200" w:rsidRPr="004F2FE7" w:rsidRDefault="002A5200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t xml:space="preserve">HW zajištění časové synchronizace – každý separátní přístroj musí umožňovat </w:t>
            </w:r>
            <w:proofErr w:type="spellStart"/>
            <w:r w:rsidRPr="004F2FE7">
              <w:rPr>
                <w:rFonts w:ascii="Tahoma" w:eastAsia="Calibri" w:hAnsi="Tahoma" w:cs="Tahoma"/>
                <w:sz w:val="20"/>
                <w:szCs w:val="20"/>
              </w:rPr>
              <w:t>daisy</w:t>
            </w:r>
            <w:proofErr w:type="spellEnd"/>
            <w:r w:rsidRPr="004F2FE7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4F2FE7">
              <w:rPr>
                <w:rFonts w:ascii="Tahoma" w:eastAsia="Calibri" w:hAnsi="Tahoma" w:cs="Tahoma"/>
                <w:sz w:val="20"/>
                <w:szCs w:val="20"/>
              </w:rPr>
              <w:t>chain</w:t>
            </w:r>
            <w:proofErr w:type="spellEnd"/>
            <w:r w:rsidRPr="004F2FE7">
              <w:rPr>
                <w:rFonts w:ascii="Tahoma" w:eastAsia="Calibri" w:hAnsi="Tahoma" w:cs="Tahoma"/>
                <w:sz w:val="20"/>
                <w:szCs w:val="20"/>
              </w:rPr>
              <w:t xml:space="preserve"> pro Ethernet, tedy přístroj obsahuje 2ks rozhraní </w:t>
            </w:r>
            <w:proofErr w:type="spellStart"/>
            <w:r w:rsidRPr="004F2FE7">
              <w:rPr>
                <w:rFonts w:ascii="Tahoma" w:eastAsia="Calibri" w:hAnsi="Tahoma" w:cs="Tahoma"/>
                <w:sz w:val="20"/>
                <w:szCs w:val="20"/>
              </w:rPr>
              <w:t>GbEthernet</w:t>
            </w:r>
            <w:proofErr w:type="spellEnd"/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4A4" w14:textId="611C9120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2257B8FF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11FD" w14:textId="39642DD9" w:rsidR="002A5200" w:rsidRPr="004F2FE7" w:rsidRDefault="002A5200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t>Komunikační rozhraní pro ovládání HW a přenos dat: USB3.0 či vyšší verze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A6" w14:textId="18F87D6F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6718B7A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951" w14:textId="4FA9A551" w:rsidR="002A5200" w:rsidRPr="004F2FE7" w:rsidRDefault="002A5200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lastRenderedPageBreak/>
              <w:t>Komunikační rozhraní pro záznam dat ze sběrnice CAN(-FD)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E40" w14:textId="232D80A1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185BA64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D1D" w14:textId="1193B7A9" w:rsidR="002A5200" w:rsidRPr="004F2FE7" w:rsidRDefault="002A5200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</w:rPr>
              <w:t>Školení formou přednášky a diskuse na teorii a obsluhu zařízení v délce minimálně 8 hodin, bude umožněn videozáznam zákazníkem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CD" w14:textId="25ADB5F0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6D415462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135" w14:textId="57841FEE" w:rsidR="002A5200" w:rsidRPr="004F2FE7" w:rsidRDefault="00D22DF4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D22DF4">
              <w:rPr>
                <w:rFonts w:ascii="Tahoma" w:eastAsia="Calibri" w:hAnsi="Tahoma" w:cs="Tahoma"/>
                <w:sz w:val="20"/>
                <w:szCs w:val="20"/>
              </w:rPr>
              <w:t>Robustní transportní kufry nebo brašny pro veškerou techniku v dodávce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896" w14:textId="17A08191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2A5200" w:rsidRPr="004F2FE7" w14:paraId="5437CDD9" w14:textId="37A7B156" w:rsidTr="00715D9B">
        <w:trPr>
          <w:trHeight w:val="567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A9D" w14:textId="52CFFBA3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B.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FA36ED" w:rsidRPr="004F2FE7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2 </w:t>
            </w:r>
            <w:proofErr w:type="gramStart"/>
            <w:r w:rsidR="00FA36ED" w:rsidRPr="004F2FE7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kusy</w:t>
            </w:r>
            <w:r w:rsidR="00FA36ED"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U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niverzální</w:t>
            </w:r>
            <w:proofErr w:type="gram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datalogger</w:t>
            </w:r>
            <w:proofErr w:type="spell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I.</w:t>
            </w:r>
          </w:p>
        </w:tc>
      </w:tr>
      <w:tr w:rsidR="002A5200" w:rsidRPr="004F2FE7" w14:paraId="005FD5A7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C94" w14:textId="53DC0965" w:rsidR="002A5200" w:rsidRPr="004F2FE7" w:rsidRDefault="00FA36ED" w:rsidP="002A5200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měření napěťových signálů až ±2000Vpeak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C7F" w14:textId="11681600" w:rsidR="002A5200" w:rsidRPr="004F2FE7" w:rsidRDefault="002A5200" w:rsidP="002A520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6E140CC3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A72" w14:textId="37B5F4B6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1,8MHz: šířka slova AD převodníku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A3F" w14:textId="5E8AE7BF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</w:t>
            </w:r>
          </w:p>
        </w:tc>
      </w:tr>
      <w:tr w:rsidR="00FA36ED" w:rsidRPr="004F2FE7" w14:paraId="45A5F60C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0C8" w14:textId="66914089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1,8MHz: simultánní vzorkování na všech kanálech a vzorkovací frekvence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1F49" w14:textId="77777777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Simultánně</w:t>
            </w:r>
          </w:p>
          <w:p w14:paraId="61A0388F" w14:textId="6DE27A12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5MS/s/ch</w:t>
            </w:r>
          </w:p>
        </w:tc>
      </w:tr>
      <w:tr w:rsidR="00FA36ED" w:rsidRPr="004F2FE7" w14:paraId="6C5894BD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FB5" w14:textId="049EF2AF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1MHz: šířka slova AD převodníku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0DF" w14:textId="22CB93B9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24 bit</w:t>
            </w:r>
          </w:p>
        </w:tc>
      </w:tr>
      <w:tr w:rsidR="00FA36ED" w:rsidRPr="004F2FE7" w14:paraId="3AB7ECFA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F233" w14:textId="49160131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1MHz: simultánní vzorkování na všech kanálech a vzorkovací frekvence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E69" w14:textId="77777777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Simultánně</w:t>
            </w:r>
          </w:p>
          <w:p w14:paraId="42686A04" w14:textId="637AFEDE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2MS/s/ch</w:t>
            </w:r>
          </w:p>
        </w:tc>
      </w:tr>
      <w:tr w:rsidR="00FA36ED" w:rsidRPr="004F2FE7" w14:paraId="709C77FF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7D7" w14:textId="1E4707AF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2000V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Počet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BDB" w14:textId="688C7D55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</w:tr>
      <w:tr w:rsidR="00FA36ED" w:rsidRPr="004F2FE7" w14:paraId="7854692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079" w14:textId="2AFB499B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2000V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Rozsah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00" w14:textId="3B6AB9EE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±2000Vpeak</w:t>
            </w:r>
          </w:p>
        </w:tc>
      </w:tr>
      <w:tr w:rsidR="00FA36ED" w:rsidRPr="004F2FE7" w14:paraId="7320EFB5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DCE" w14:textId="30630BC7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2000V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Vstupní vazba DC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70E5" w14:textId="6B74EDF0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72C5E810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6EF" w14:textId="7F3D1CC8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2000V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Izolační bariéra pro kanál – kanál a kanál – zem, kategorie CAT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A2C" w14:textId="4FB2FAB8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proofErr w:type="gramStart"/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1000V</w:t>
            </w:r>
            <w:proofErr w:type="gramEnd"/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CAT II</w:t>
            </w:r>
          </w:p>
        </w:tc>
      </w:tr>
      <w:tr w:rsidR="00FA36ED" w:rsidRPr="004F2FE7" w14:paraId="260DCBE3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93A" w14:textId="3C2BB8D1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Počet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705" w14:textId="77E8E594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</w:tr>
      <w:tr w:rsidR="00FA36ED" w:rsidRPr="004F2FE7" w14:paraId="257CE292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723" w14:textId="4DE78978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Přepínatelné rozsahy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B91" w14:textId="6D1B4341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±50mV až ±</w:t>
            </w:r>
            <w:proofErr w:type="gramStart"/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100V</w:t>
            </w:r>
            <w:proofErr w:type="gramEnd"/>
          </w:p>
        </w:tc>
      </w:tr>
      <w:tr w:rsidR="00FA36ED" w:rsidRPr="004F2FE7" w14:paraId="40B80B2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895" w14:textId="3FEEF5C2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Vstupní vazba DC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2BE" w14:textId="54FCB9A7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7E9DA099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B6C" w14:textId="1B1A4B41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Vstupní vazba AC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7A7" w14:textId="4952D623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268DAE6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060" w14:textId="6CFB1EC2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Izolační bariéra pro kanál – kanál a kanál – zem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8B3" w14:textId="5822F0A1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350Vdc</w:t>
            </w:r>
          </w:p>
        </w:tc>
      </w:tr>
      <w:tr w:rsidR="00FA36ED" w:rsidRPr="004F2FE7" w14:paraId="12A126D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58BD" w14:textId="63F4E502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Podpora DC napěťového napájení senzorů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C38" w14:textId="34606290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4C515FB7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729" w14:textId="086CEA41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Možnost připojit přímo nebo přes dodaný adaptér: IEPE senzor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FD0" w14:textId="7283510B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1A2C8152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FAB" w14:textId="6237B70E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Možnost připojit přímo nebo přes dodaný adaptér: senzor s BNC konektorem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86C7" w14:textId="5389ADEC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6AE2021A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48C" w14:textId="70445031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(vstupy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100V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) Možnost připojit přímo nebo přes dodaný adaptér: Proudové kleště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B5D" w14:textId="2D57FC22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52518319" w14:textId="71DF2BA7" w:rsidTr="00715D9B">
        <w:trPr>
          <w:trHeight w:val="567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F86" w14:textId="5836818D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C.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 xml:space="preserve">Senzory a adaptéry pro připojení k </w:t>
            </w:r>
            <w:proofErr w:type="spell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dataloggeru</w:t>
            </w:r>
            <w:proofErr w:type="spell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I. pro vstupy </w:t>
            </w:r>
            <w:proofErr w:type="gram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100V</w:t>
            </w:r>
            <w:proofErr w:type="gramEnd"/>
          </w:p>
        </w:tc>
      </w:tr>
      <w:tr w:rsidR="00FA36ED" w:rsidRPr="004F2FE7" w14:paraId="3A260541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F1FC" w14:textId="502848AF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4ks, adaptér pro připojení IEPE senzoru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B8C" w14:textId="3FEC2B76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34828FC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8E3" w14:textId="289E920E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4ks, adaptér pro připojení BNC konektoru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F3A" w14:textId="336598BA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5148065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656" w14:textId="080C2D5B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4ks, adaptér pro připojení banánků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4F1" w14:textId="315A8196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01D6A579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F53" w14:textId="3F55BFE6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1ks, adaptér 200 Volt diferenciální vstup s BNC konektorem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13B" w14:textId="0E38D723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70827812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C57" w14:textId="082D14F3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1ks, adaptér pro připojení termočlánku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F55" w14:textId="7362C303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031C3666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D49" w14:textId="63E86CC2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1ks, adaptér pro připojení RTD sensorů – Pt100, Pt1000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4E4" w14:textId="2A002D5C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6211E0DC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34E" w14:textId="66A14B9B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1ks, adaptér pro připojení senzoru s přímým proudovým vstupem 20 mA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754" w14:textId="60763389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023C625C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B5D" w14:textId="54DE602F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1ks, adaptér pro připojení senzoru pro galvanicky oddělený přímý proudový vstup 20ADC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DA7" w14:textId="31A3F6C5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3B7F9FFA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403" w14:textId="721CD3F9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6ks, senzor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Rogowského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cívka pro rozsahy 30/300/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3000A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, minimální frekvenční rozsah 10Hz až 10kHz, chyba měření ≤ 1,5%, délka cívky min 350 mm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7F8" w14:textId="7A3EC1E6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6E40CBE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5E" w14:textId="56FCDCAF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lastRenderedPageBreak/>
              <w:t xml:space="preserve">6ks, senzor proudové kleště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5A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AC, minimální frekvenční rozsah 2Hz až 5kHz, chyba měření ≤ 1%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5A4" w14:textId="54A188B1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31A5E87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B9DB" w14:textId="3DAB0EB3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1ks, senzor proudové kleště 30ADC a 30ACpeak, frekvenční rozsah DC-20kHz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B35E" w14:textId="5405DD1E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1783818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F40B" w14:textId="665FBCCC" w:rsidR="00FA36ED" w:rsidRPr="004F2FE7" w:rsidRDefault="00FA36ED" w:rsidP="00FA36ED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Robustní transportní kufr nebo brašna pro všechny senzory a adaptéry požadované v dodávce nebo příslušný prostor součástí společného robustního kufru nebo brašny pro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dataloggery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FB7" w14:textId="0000BA8B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A36ED" w:rsidRPr="004F2FE7" w14:paraId="449411CE" w14:textId="7883A80E" w:rsidTr="00715D9B">
        <w:trPr>
          <w:trHeight w:val="567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7FF" w14:textId="36F009B1" w:rsidR="00FA36ED" w:rsidRPr="004F2FE7" w:rsidRDefault="00715D9B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D.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1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 </w:t>
            </w:r>
            <w:proofErr w:type="gram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kus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Univerzální</w:t>
            </w:r>
            <w:proofErr w:type="gram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datalogger</w:t>
            </w:r>
            <w:proofErr w:type="spell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II. </w:t>
            </w:r>
          </w:p>
        </w:tc>
      </w:tr>
      <w:tr w:rsidR="00FA36ED" w:rsidRPr="004F2FE7" w14:paraId="0FDFB197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9FB" w14:textId="7337314A" w:rsidR="00FA36ED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měření napěťových signálů až ±10Vpeak a IEPE snímače (akcelerometry/mikrofony)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CEA" w14:textId="31C0E287" w:rsidR="00FA36ED" w:rsidRPr="004F2FE7" w:rsidRDefault="00FA36ED" w:rsidP="00FA36ED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5D91D28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80" w14:textId="3B67E7A3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Počet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DB" w14:textId="00A9D1F9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</w:t>
            </w:r>
          </w:p>
        </w:tc>
      </w:tr>
      <w:tr w:rsidR="00715D9B" w:rsidRPr="004F2FE7" w14:paraId="4DB9945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A0A" w14:textId="6E18AFA1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Přepínatelné rozsahy vstupů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F64B" w14:textId="22EF26E4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±200mV až ±</w:t>
            </w:r>
            <w:proofErr w:type="gramStart"/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10V</w:t>
            </w:r>
            <w:proofErr w:type="gramEnd"/>
          </w:p>
        </w:tc>
      </w:tr>
      <w:tr w:rsidR="00715D9B" w:rsidRPr="004F2FE7" w14:paraId="797C132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5D7" w14:textId="110167A0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Vstupní vazba DC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A12" w14:textId="0CCCA469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0E20428A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058" w14:textId="4E6B197C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Vstupní vazba AC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F03" w14:textId="3E714FB7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368D8EB9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B870" w14:textId="3DFF1860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Vstupní vazba AC dolní frekvence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BC3" w14:textId="37F06B0A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0,16Hz</w:t>
            </w:r>
          </w:p>
        </w:tc>
      </w:tr>
      <w:tr w:rsidR="00715D9B" w:rsidRPr="004F2FE7" w14:paraId="08092A63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C2A" w14:textId="02833D95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Izolační bariéra kanál – kanál a kanál – zem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EE3" w14:textId="116799AE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100Vrms</w:t>
            </w:r>
          </w:p>
        </w:tc>
      </w:tr>
      <w:tr w:rsidR="00715D9B" w:rsidRPr="004F2FE7" w14:paraId="4F5DD5D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E4A" w14:textId="2A7D0BA9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1MHz, šířka slova AD převodníku.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464" w14:textId="6089A827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</w:t>
            </w:r>
          </w:p>
        </w:tc>
      </w:tr>
      <w:tr w:rsidR="00715D9B" w:rsidRPr="004F2FE7" w14:paraId="74951244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514" w14:textId="109E7556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1MHz: simultánní vzorkování na všech kanálech a vzorkovací frekvence.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07A6" w14:textId="77777777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Simultánně</w:t>
            </w:r>
          </w:p>
          <w:p w14:paraId="68F405F2" w14:textId="418ACF29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2MS/s/ch</w:t>
            </w:r>
          </w:p>
        </w:tc>
      </w:tr>
      <w:tr w:rsidR="00715D9B" w:rsidRPr="004F2FE7" w14:paraId="763F87E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E91" w14:textId="4732B516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0.5MHz: šířka slova AD převodníku.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E365" w14:textId="743DD307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24 bit</w:t>
            </w:r>
          </w:p>
        </w:tc>
      </w:tr>
      <w:tr w:rsidR="00715D9B" w:rsidRPr="004F2FE7" w14:paraId="49596B1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B37" w14:textId="47033481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Pro frekvenční rozsah vstupů DC až alespoň 0.5MHz: simultánní vzorkování na všech kanálech a vzorkovací frekvence.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8E9" w14:textId="77777777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Simultánně</w:t>
            </w:r>
          </w:p>
          <w:p w14:paraId="580816A4" w14:textId="31C235FC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1MS/s/ch</w:t>
            </w:r>
          </w:p>
        </w:tc>
      </w:tr>
      <w:tr w:rsidR="00715D9B" w:rsidRPr="004F2FE7" w14:paraId="03529306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D8B" w14:textId="0234AF60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Podpora napájení senzorů IEPE.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81F" w14:textId="6E6A56D3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0AB632D9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A73" w14:textId="2CE4FAEE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8ks, adaptér pro připojení IEPE senzoru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36B9" w14:textId="42445199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6D2150F2" w14:textId="145F3B24" w:rsidTr="00715D9B">
        <w:trPr>
          <w:trHeight w:val="567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DE2" w14:textId="01C7B474" w:rsidR="00715D9B" w:rsidRPr="004F2FE7" w:rsidRDefault="00715D9B" w:rsidP="00715D9B">
            <w:pPr>
              <w:pStyle w:val="Odstavecseseznamem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E.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Set modulů pro časovou synchronizaci (GPS, IMU+GPS)</w:t>
            </w:r>
          </w:p>
        </w:tc>
      </w:tr>
      <w:tr w:rsidR="00715D9B" w:rsidRPr="004F2FE7" w14:paraId="7C247AE6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719" w14:textId="0C03608A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2ks GPS přijímač pro synchronizaci Univerzálních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I. + II. s komunikačním rozhraním a signálem PPS, poskytující informace o poloze a čase.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38B" w14:textId="796715DD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4F99743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9B0" w14:textId="69C7FB89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Četnost poskytování informací z GPS přijímače pro synchronizaci.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F91" w14:textId="65929017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10Hz</w:t>
            </w:r>
            <w:proofErr w:type="gramEnd"/>
          </w:p>
        </w:tc>
      </w:tr>
      <w:tr w:rsidR="00715D9B" w:rsidRPr="004F2FE7" w14:paraId="300A5D69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6C04" w14:textId="4273DBC3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1ks Inerciální měřicí jednotka IMU s GPS, poskytující informace: čas, zrychlení, úhlová rychlost, úhel ve 3 osách, poloha +-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1m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8CD3" w14:textId="54C10ADD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5C4A4BA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642" w14:textId="52C41817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Četnost poskytování informací z inerciální měřicí jednotky IMU s GPS.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25F" w14:textId="06A5F071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100Hz</w:t>
            </w:r>
            <w:proofErr w:type="gramEnd"/>
          </w:p>
        </w:tc>
      </w:tr>
      <w:tr w:rsidR="00715D9B" w:rsidRPr="004F2FE7" w14:paraId="4747532A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49B" w14:textId="24B25EFE" w:rsidR="00715D9B" w:rsidRPr="004F2FE7" w:rsidRDefault="00715D9B" w:rsidP="00715D9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Robustní transportní kufr nebo brašna pro všechny požadované moduly pro časovou synchronizaci v dodávce nebo součástí společného robustního kufru nebo brašny pro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dataloggery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63C" w14:textId="2BF4C343" w:rsidR="00715D9B" w:rsidRPr="004F2FE7" w:rsidRDefault="00715D9B" w:rsidP="00715D9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5084F0DF" w14:textId="77777777" w:rsidTr="00715D9B">
        <w:trPr>
          <w:trHeight w:val="567"/>
          <w:jc w:val="center"/>
        </w:trPr>
        <w:tc>
          <w:tcPr>
            <w:tcW w:w="9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AEE" w14:textId="2FE8F393" w:rsidR="00715D9B" w:rsidRPr="004F2FE7" w:rsidRDefault="00715D9B" w:rsidP="00056103">
            <w:pPr>
              <w:pStyle w:val="Odstavecseseznamem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F.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SW pro konfiguraci, vizualizaci signálů a sběr dat</w:t>
            </w:r>
          </w:p>
        </w:tc>
      </w:tr>
      <w:tr w:rsidR="004F2FE7" w:rsidRPr="004F2FE7" w14:paraId="73E7E91C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EA2" w14:textId="38263843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PC Windows SW pro konfiguraci, vizualizaci, sběr a záznam dat. Časově neomezená licence pro Windows PC s nakoupeným HW.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0B9A" w14:textId="01E7C191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3EC46976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308" w14:textId="12CD1EFC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Pro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dataloggery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I. + II. a jejich vyžadovaných periferií (analogové vstupy, digitální vstupy, CAN), ovládání, nastavení, vizualizace, ukládání dat z jediné SW aplikace.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720" w14:textId="2A8A26C6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15F187AE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E9C" w14:textId="0F344AC1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Synchronizovaný sběr dat ze všech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I. + II. a jejich vstupů.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8E0" w14:textId="071FE6E8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6D54D485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A91" w14:textId="6B35655D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Zachytávání a ukládání událostí na definovatelné spouštěcí úrovně (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trigger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AE4" w14:textId="46FCC8DD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4EB41AC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0B8" w14:textId="66C4DDB9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Neomezený počet podporovaných kanálů (budoucí škálovatelnost) bez potřeby dokupovat SW licenci.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D2A" w14:textId="60798B85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13E2133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50A" w14:textId="297AFE37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lastRenderedPageBreak/>
              <w:t>Podpora senzorů s TEDS, jejich konfigurace v databázi.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E67" w14:textId="31EA6607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76CF3512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B069" w14:textId="6E774F0E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Možnost uložení konfiguračních souborů pro další měření.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276" w14:textId="0858E5ED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79C7DB1B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07F" w14:textId="7220CC6F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Možnost konfigurace rozdělení ukládaných souborů dle velikosti souboru a časových úseků.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143" w14:textId="55795E3B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078910F7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99C" w14:textId="6F4FC45E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Měření a analýza PQ dle norem IEC 61000-4-7 a IEC61000-4-15.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295" w14:textId="2C20F2EC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16415088" w14:textId="77777777" w:rsidTr="003A4960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FA7F" w14:textId="622D48B3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Synchronizace naměřených dat s obrazem získaného z kamery během měření.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360" w14:textId="07141A62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4CAD76E8" w14:textId="77777777" w:rsidTr="00715D9B">
        <w:trPr>
          <w:gridAfter w:val="1"/>
          <w:wAfter w:w="63" w:type="dxa"/>
          <w:trHeight w:val="56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071" w14:textId="7A974A25" w:rsidR="00715D9B" w:rsidRPr="004F2FE7" w:rsidRDefault="004F2FE7" w:rsidP="00056103">
            <w:pPr>
              <w:pStyle w:val="Odstavecseseznamem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G.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 xml:space="preserve">SW pro </w:t>
            </w:r>
            <w:proofErr w:type="spellStart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postprocesing</w:t>
            </w:r>
            <w:proofErr w:type="spellEnd"/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analýzu uložených dat</w:t>
            </w:r>
          </w:p>
        </w:tc>
      </w:tr>
      <w:tr w:rsidR="004F2FE7" w:rsidRPr="004F2FE7" w14:paraId="54E3D763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838A" w14:textId="72DD7CAC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SW pro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postprocesing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a analýzu uložených dat. Bez nutné licence či časově neomezená licence pro Windows PC s nakoupeným HW.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621" w14:textId="46A3326B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7BAD3C92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7C4" w14:textId="3604D862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Základní i pokročilé matematické operace pro analýzu signálu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3384" w14:textId="7DD20896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5B4A0067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A7A" w14:textId="72EDF1DA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Filtry IIR FIR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EBB4" w14:textId="7DA05AE6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641CC0D6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400D" w14:textId="2D6438A0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FFT analýza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826" w14:textId="0BCC25DD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5F37A6EB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33A" w14:textId="78DD127C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Statistické vyhodnocení dat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86C" w14:textId="31D54FF3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2266AD06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3A9" w14:textId="541B205F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Analýza výkonů (U, I, P, Q, S, PF)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63C7" w14:textId="5F68EDC0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12FE8172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448" w14:textId="6C184A39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Modální analýza a řádová analýza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6689" w14:textId="5AB00518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5ADDD9E7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A690" w14:textId="2610D0F7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Akustická měření (úroveň, výkon, intenzita, kvalita)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CC55" w14:textId="46A9F711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573E2705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6B08" w14:textId="5D6A2763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Vizualizace dat a vytváření reportů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BE7" w14:textId="774FB6DD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2A7812CF" w14:textId="77777777" w:rsidTr="003A4960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640F" w14:textId="77777777" w:rsidR="004F2FE7" w:rsidRPr="004F2FE7" w:rsidRDefault="004F2FE7" w:rsidP="004F2FE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Export dat do formátu:</w:t>
            </w:r>
          </w:p>
          <w:p w14:paraId="7B4C77ED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Wave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(*.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wav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3FA1AF31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DIAdem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(*.dat),</w:t>
            </w:r>
          </w:p>
          <w:p w14:paraId="38CABA73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Matlab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(*.mat),</w:t>
            </w:r>
          </w:p>
          <w:p w14:paraId="545FAAD6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Text/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csv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(*.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csv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7529C482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Excel (*.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xlsx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),</w:t>
            </w:r>
          </w:p>
          <w:p w14:paraId="5E64973A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Comtrade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540A6A67" w14:textId="77777777" w:rsidR="004F2FE7" w:rsidRPr="004F2FE7" w:rsidRDefault="004F2FE7" w:rsidP="004F2FE7">
            <w:pPr>
              <w:spacing w:after="0"/>
              <w:ind w:left="708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UFF58 (*.uff),</w:t>
            </w:r>
          </w:p>
          <w:p w14:paraId="066BDD50" w14:textId="2EA0E58F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ind w:left="708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Technical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data managment (TDM).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E827" w14:textId="25A1552E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715D9B" w:rsidRPr="004F2FE7" w14:paraId="1023800F" w14:textId="77777777" w:rsidTr="00715D9B">
        <w:trPr>
          <w:gridAfter w:val="1"/>
          <w:wAfter w:w="63" w:type="dxa"/>
          <w:trHeight w:val="56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861" w14:textId="03953143" w:rsidR="00715D9B" w:rsidRPr="004F2FE7" w:rsidRDefault="004F2FE7" w:rsidP="00056103">
            <w:pPr>
              <w:pStyle w:val="Odstavecseseznamem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H.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Přenosný počítač (notebook) pro běh SW definovaného v bodech F a G</w:t>
            </w:r>
          </w:p>
        </w:tc>
      </w:tr>
      <w:tr w:rsidR="004F2FE7" w:rsidRPr="004F2FE7" w14:paraId="0DC015A9" w14:textId="77777777" w:rsidTr="004F2FE7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BCD" w14:textId="4465382C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Rozměr displeje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14D6" w14:textId="1E164029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min. 14“</w:t>
            </w:r>
          </w:p>
        </w:tc>
      </w:tr>
      <w:tr w:rsidR="004F2FE7" w:rsidRPr="004F2FE7" w14:paraId="7EC52B59" w14:textId="77777777" w:rsidTr="004F2FE7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58D" w14:textId="6494EDB0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Kapacita RAM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CBB1" w14:textId="46057379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min. 32 GB</w:t>
            </w:r>
          </w:p>
        </w:tc>
      </w:tr>
      <w:tr w:rsidR="004F2FE7" w:rsidRPr="004F2FE7" w14:paraId="75A0BB80" w14:textId="77777777" w:rsidTr="004F2FE7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B67D" w14:textId="1E35AD67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4F2FE7">
              <w:rPr>
                <w:rFonts w:ascii="Tahoma" w:hAnsi="Tahoma" w:cs="Tahoma"/>
                <w:sz w:val="20"/>
                <w:szCs w:val="20"/>
              </w:rPr>
              <w:t>apacita SSD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9A00" w14:textId="4C189E2C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4F2FE7">
              <w:rPr>
                <w:rFonts w:ascii="Tahoma" w:hAnsi="Tahoma" w:cs="Tahoma"/>
                <w:sz w:val="20"/>
                <w:szCs w:val="20"/>
              </w:rPr>
              <w:t>1 TB</w:t>
            </w:r>
          </w:p>
        </w:tc>
      </w:tr>
      <w:tr w:rsidR="004F2FE7" w:rsidRPr="004F2FE7" w14:paraId="137ABB55" w14:textId="77777777" w:rsidTr="004F2FE7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823" w14:textId="4B9A58BF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Procesorový výkon počítače dle „CPU Mark“ (dostupné na www.cpubenchmark.net), ke dni zahájení Veřejné zakázky (dle přílohy č.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4F2F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546B">
              <w:rPr>
                <w:rFonts w:ascii="Tahoma" w:hAnsi="Tahoma" w:cs="Tahoma"/>
                <w:sz w:val="20"/>
                <w:szCs w:val="20"/>
              </w:rPr>
              <w:t>z</w:t>
            </w:r>
            <w:r w:rsidRPr="004F2FE7">
              <w:rPr>
                <w:rFonts w:ascii="Tahoma" w:hAnsi="Tahoma" w:cs="Tahoma"/>
                <w:sz w:val="20"/>
                <w:szCs w:val="20"/>
              </w:rPr>
              <w:t xml:space="preserve">adávací dokumentace), nebo později (pokud procesor není v příloze č.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4F2F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546B">
              <w:rPr>
                <w:rFonts w:ascii="Tahoma" w:hAnsi="Tahoma" w:cs="Tahoma"/>
                <w:sz w:val="20"/>
                <w:szCs w:val="20"/>
              </w:rPr>
              <w:t>z</w:t>
            </w:r>
            <w:r w:rsidRPr="004F2FE7">
              <w:rPr>
                <w:rFonts w:ascii="Tahoma" w:hAnsi="Tahoma" w:cs="Tahoma"/>
                <w:sz w:val="20"/>
                <w:szCs w:val="20"/>
              </w:rPr>
              <w:t>adávací dokumentace uveden).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1F0" w14:textId="28D7C57A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min. 26 000</w:t>
            </w:r>
          </w:p>
        </w:tc>
      </w:tr>
      <w:tr w:rsidR="004F2FE7" w:rsidRPr="004F2FE7" w14:paraId="44081F48" w14:textId="77777777" w:rsidTr="00502994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6B2" w14:textId="20631069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Fyzický konektor RJ45 pro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Gbit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Ethernet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A23" w14:textId="79735D3E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44A0E84D" w14:textId="77777777" w:rsidTr="00502994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4AB" w14:textId="1E39B88F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>Zabudovaný 5G modem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065" w14:textId="2B60B98F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7C37D395" w14:textId="77777777" w:rsidTr="00502994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A1FE" w14:textId="68706E90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Certifikace </w:t>
            </w:r>
            <w:proofErr w:type="gramStart"/>
            <w:r w:rsidRPr="004F2FE7">
              <w:rPr>
                <w:rFonts w:ascii="Tahoma" w:hAnsi="Tahoma" w:cs="Tahoma"/>
                <w:sz w:val="20"/>
                <w:szCs w:val="20"/>
              </w:rPr>
              <w:t>odolnosti  MIL</w:t>
            </w:r>
            <w:proofErr w:type="gramEnd"/>
            <w:r w:rsidRPr="004F2FE7">
              <w:rPr>
                <w:rFonts w:ascii="Tahoma" w:hAnsi="Tahoma" w:cs="Tahoma"/>
                <w:sz w:val="20"/>
                <w:szCs w:val="20"/>
              </w:rPr>
              <w:t>-STD-810H nebo lepší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8D2D" w14:textId="07C3F031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4F2FE7" w:rsidRPr="004F2FE7" w14:paraId="72D197C4" w14:textId="77777777" w:rsidTr="00502994">
        <w:trPr>
          <w:gridAfter w:val="1"/>
          <w:wAfter w:w="63" w:type="dxa"/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BFA" w14:textId="1E00E797" w:rsidR="004F2FE7" w:rsidRPr="004F2FE7" w:rsidRDefault="004F2FE7" w:rsidP="004F2FE7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F2FE7">
              <w:rPr>
                <w:rFonts w:ascii="Tahoma" w:hAnsi="Tahoma" w:cs="Tahoma"/>
                <w:sz w:val="20"/>
                <w:szCs w:val="20"/>
              </w:rPr>
              <w:t xml:space="preserve">OS </w:t>
            </w:r>
            <w:proofErr w:type="spellStart"/>
            <w:r w:rsidRPr="004F2FE7">
              <w:rPr>
                <w:rFonts w:ascii="Tahoma" w:hAnsi="Tahoma" w:cs="Tahoma"/>
                <w:sz w:val="20"/>
                <w:szCs w:val="20"/>
              </w:rPr>
              <w:t>Win</w:t>
            </w:r>
            <w:proofErr w:type="spellEnd"/>
            <w:r w:rsidRPr="004F2FE7">
              <w:rPr>
                <w:rFonts w:ascii="Tahoma" w:hAnsi="Tahoma" w:cs="Tahoma"/>
                <w:sz w:val="20"/>
                <w:szCs w:val="20"/>
              </w:rPr>
              <w:t xml:space="preserve"> 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7836" w14:textId="3EC924C8" w:rsidR="004F2FE7" w:rsidRPr="004F2FE7" w:rsidRDefault="004F2FE7" w:rsidP="004F2FE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F2FE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</w:tbl>
    <w:p w14:paraId="20CCAB51" w14:textId="33A85193" w:rsidR="000E2836" w:rsidRPr="00B4312E" w:rsidRDefault="000E2836" w:rsidP="000E2836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EB3C" w14:textId="77777777" w:rsidR="00D565D5" w:rsidRDefault="00D565D5">
      <w:pPr>
        <w:spacing w:after="0" w:line="240" w:lineRule="auto"/>
      </w:pPr>
      <w:r>
        <w:separator/>
      </w:r>
    </w:p>
  </w:endnote>
  <w:endnote w:type="continuationSeparator" w:id="0">
    <w:p w14:paraId="7904D8A2" w14:textId="77777777" w:rsidR="00D565D5" w:rsidRDefault="00D5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3493E119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22DF4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03CB" w14:textId="77777777" w:rsidR="00D565D5" w:rsidRDefault="00D565D5">
      <w:pPr>
        <w:spacing w:after="0" w:line="240" w:lineRule="auto"/>
      </w:pPr>
      <w:r>
        <w:separator/>
      </w:r>
    </w:p>
  </w:footnote>
  <w:footnote w:type="continuationSeparator" w:id="0">
    <w:p w14:paraId="39B9C4B1" w14:textId="77777777" w:rsidR="00D565D5" w:rsidRDefault="00D5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869">
    <w:abstractNumId w:val="13"/>
  </w:num>
  <w:num w:numId="2" w16cid:durableId="1537430023">
    <w:abstractNumId w:val="18"/>
  </w:num>
  <w:num w:numId="3" w16cid:durableId="1755862293">
    <w:abstractNumId w:val="8"/>
  </w:num>
  <w:num w:numId="4" w16cid:durableId="544827811">
    <w:abstractNumId w:val="3"/>
  </w:num>
  <w:num w:numId="5" w16cid:durableId="1640261932">
    <w:abstractNumId w:val="11"/>
  </w:num>
  <w:num w:numId="6" w16cid:durableId="311907812">
    <w:abstractNumId w:val="16"/>
  </w:num>
  <w:num w:numId="7" w16cid:durableId="576982594">
    <w:abstractNumId w:val="15"/>
  </w:num>
  <w:num w:numId="8" w16cid:durableId="2029484411">
    <w:abstractNumId w:val="10"/>
  </w:num>
  <w:num w:numId="9" w16cid:durableId="728770444">
    <w:abstractNumId w:val="4"/>
  </w:num>
  <w:num w:numId="10" w16cid:durableId="1521747245">
    <w:abstractNumId w:val="1"/>
  </w:num>
  <w:num w:numId="11" w16cid:durableId="1718972858">
    <w:abstractNumId w:val="14"/>
  </w:num>
  <w:num w:numId="12" w16cid:durableId="996417991">
    <w:abstractNumId w:val="19"/>
  </w:num>
  <w:num w:numId="13" w16cid:durableId="353962542">
    <w:abstractNumId w:val="9"/>
  </w:num>
  <w:num w:numId="14" w16cid:durableId="1678268354">
    <w:abstractNumId w:val="6"/>
  </w:num>
  <w:num w:numId="15" w16cid:durableId="1468813122">
    <w:abstractNumId w:val="17"/>
  </w:num>
  <w:num w:numId="16" w16cid:durableId="2086874826">
    <w:abstractNumId w:val="7"/>
  </w:num>
  <w:num w:numId="17" w16cid:durableId="630136065">
    <w:abstractNumId w:val="0"/>
  </w:num>
  <w:num w:numId="18" w16cid:durableId="2089496112">
    <w:abstractNumId w:val="12"/>
  </w:num>
  <w:num w:numId="19" w16cid:durableId="727799590">
    <w:abstractNumId w:val="5"/>
  </w:num>
  <w:num w:numId="20" w16cid:durableId="134381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10DF"/>
    <w:rsid w:val="00010967"/>
    <w:rsid w:val="0002071C"/>
    <w:rsid w:val="0002519B"/>
    <w:rsid w:val="00036C05"/>
    <w:rsid w:val="00053D8F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E2836"/>
    <w:rsid w:val="000F31CC"/>
    <w:rsid w:val="001039AF"/>
    <w:rsid w:val="00103FEF"/>
    <w:rsid w:val="001059A4"/>
    <w:rsid w:val="0010732A"/>
    <w:rsid w:val="001105C7"/>
    <w:rsid w:val="00126F1A"/>
    <w:rsid w:val="00133AF3"/>
    <w:rsid w:val="0013763A"/>
    <w:rsid w:val="00137A92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5F41"/>
    <w:rsid w:val="00203886"/>
    <w:rsid w:val="00212731"/>
    <w:rsid w:val="00212AF3"/>
    <w:rsid w:val="002221D1"/>
    <w:rsid w:val="00223440"/>
    <w:rsid w:val="00223AB7"/>
    <w:rsid w:val="00224ACE"/>
    <w:rsid w:val="002252BB"/>
    <w:rsid w:val="002345E0"/>
    <w:rsid w:val="0024127F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20B16"/>
    <w:rsid w:val="003225BA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3953"/>
    <w:rsid w:val="0042546B"/>
    <w:rsid w:val="00425EAC"/>
    <w:rsid w:val="00430252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B0C28"/>
    <w:rsid w:val="004B198C"/>
    <w:rsid w:val="004B36D2"/>
    <w:rsid w:val="004B4898"/>
    <w:rsid w:val="004C7D5F"/>
    <w:rsid w:val="004D75CE"/>
    <w:rsid w:val="004E5309"/>
    <w:rsid w:val="004E6130"/>
    <w:rsid w:val="004F2A71"/>
    <w:rsid w:val="004F2FE7"/>
    <w:rsid w:val="005032B6"/>
    <w:rsid w:val="005044EA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64AE"/>
    <w:rsid w:val="00595A9F"/>
    <w:rsid w:val="00597983"/>
    <w:rsid w:val="005B7570"/>
    <w:rsid w:val="005C30DF"/>
    <w:rsid w:val="005D1325"/>
    <w:rsid w:val="005D51BE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65D5C"/>
    <w:rsid w:val="006753AB"/>
    <w:rsid w:val="0068338B"/>
    <w:rsid w:val="00690CA3"/>
    <w:rsid w:val="00693604"/>
    <w:rsid w:val="0069754C"/>
    <w:rsid w:val="006A46EA"/>
    <w:rsid w:val="006A7A67"/>
    <w:rsid w:val="006B447C"/>
    <w:rsid w:val="006B6615"/>
    <w:rsid w:val="006B7B86"/>
    <w:rsid w:val="006C4418"/>
    <w:rsid w:val="006C4C3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5829"/>
    <w:rsid w:val="007D43AC"/>
    <w:rsid w:val="007E7F07"/>
    <w:rsid w:val="007F25F2"/>
    <w:rsid w:val="008007CA"/>
    <w:rsid w:val="00805B4C"/>
    <w:rsid w:val="00810F7E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57A"/>
    <w:rsid w:val="00935C3E"/>
    <w:rsid w:val="0094059A"/>
    <w:rsid w:val="009513D3"/>
    <w:rsid w:val="00967DC6"/>
    <w:rsid w:val="00974B1C"/>
    <w:rsid w:val="00983DEC"/>
    <w:rsid w:val="009B7540"/>
    <w:rsid w:val="009C681C"/>
    <w:rsid w:val="009D2DB0"/>
    <w:rsid w:val="009F102D"/>
    <w:rsid w:val="009F2979"/>
    <w:rsid w:val="009F7CC7"/>
    <w:rsid w:val="009F7E3E"/>
    <w:rsid w:val="00A00340"/>
    <w:rsid w:val="00A0501A"/>
    <w:rsid w:val="00A05185"/>
    <w:rsid w:val="00A10206"/>
    <w:rsid w:val="00A17ACA"/>
    <w:rsid w:val="00A20868"/>
    <w:rsid w:val="00A32A47"/>
    <w:rsid w:val="00A40A86"/>
    <w:rsid w:val="00A41A27"/>
    <w:rsid w:val="00A439EA"/>
    <w:rsid w:val="00A45FFA"/>
    <w:rsid w:val="00A46B7E"/>
    <w:rsid w:val="00A55B7C"/>
    <w:rsid w:val="00A600B0"/>
    <w:rsid w:val="00A801E0"/>
    <w:rsid w:val="00A83107"/>
    <w:rsid w:val="00A84C1C"/>
    <w:rsid w:val="00A904A9"/>
    <w:rsid w:val="00A94DAF"/>
    <w:rsid w:val="00A9622C"/>
    <w:rsid w:val="00AA53CC"/>
    <w:rsid w:val="00AA69BE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41C15"/>
    <w:rsid w:val="00B55D4F"/>
    <w:rsid w:val="00B644DA"/>
    <w:rsid w:val="00B74F5C"/>
    <w:rsid w:val="00B76280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F6307"/>
    <w:rsid w:val="00C142A6"/>
    <w:rsid w:val="00C3084F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E0577"/>
    <w:rsid w:val="00CE1DD2"/>
    <w:rsid w:val="00CE4072"/>
    <w:rsid w:val="00CE412D"/>
    <w:rsid w:val="00D0001A"/>
    <w:rsid w:val="00D03C46"/>
    <w:rsid w:val="00D079F0"/>
    <w:rsid w:val="00D21136"/>
    <w:rsid w:val="00D22507"/>
    <w:rsid w:val="00D22DF4"/>
    <w:rsid w:val="00D27FF8"/>
    <w:rsid w:val="00D30281"/>
    <w:rsid w:val="00D3606B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D5288"/>
    <w:rsid w:val="00DE17D4"/>
    <w:rsid w:val="00DF2375"/>
    <w:rsid w:val="00E030A9"/>
    <w:rsid w:val="00E0351A"/>
    <w:rsid w:val="00E078F6"/>
    <w:rsid w:val="00E23827"/>
    <w:rsid w:val="00E23C02"/>
    <w:rsid w:val="00E35E85"/>
    <w:rsid w:val="00E45FF2"/>
    <w:rsid w:val="00E47089"/>
    <w:rsid w:val="00E4766B"/>
    <w:rsid w:val="00E52911"/>
    <w:rsid w:val="00E63EDF"/>
    <w:rsid w:val="00E74E02"/>
    <w:rsid w:val="00E81937"/>
    <w:rsid w:val="00E847D9"/>
    <w:rsid w:val="00E87815"/>
    <w:rsid w:val="00E879B7"/>
    <w:rsid w:val="00E92311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6AD6"/>
    <w:rsid w:val="00EE072E"/>
    <w:rsid w:val="00EF1E43"/>
    <w:rsid w:val="00EF6C6C"/>
    <w:rsid w:val="00F0392C"/>
    <w:rsid w:val="00F2459A"/>
    <w:rsid w:val="00F30C40"/>
    <w:rsid w:val="00F35B71"/>
    <w:rsid w:val="00F35C00"/>
    <w:rsid w:val="00F436B7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1256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Miroslav Jílek</cp:lastModifiedBy>
  <cp:revision>8</cp:revision>
  <cp:lastPrinted>2018-08-14T10:24:00Z</cp:lastPrinted>
  <dcterms:created xsi:type="dcterms:W3CDTF">2025-04-02T12:08:00Z</dcterms:created>
  <dcterms:modified xsi:type="dcterms:W3CDTF">2025-04-03T10:47:00Z</dcterms:modified>
</cp:coreProperties>
</file>