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F233D" w14:textId="5DA5CBDD" w:rsidR="006A48CF" w:rsidRPr="00627931" w:rsidRDefault="006A48CF" w:rsidP="00627931">
      <w:pPr>
        <w:pStyle w:val="Nadpis1"/>
        <w:spacing w:before="0"/>
        <w:jc w:val="both"/>
        <w:rPr>
          <w:color w:val="00A499"/>
          <w:lang w:val="cs-CZ"/>
        </w:rPr>
      </w:pPr>
      <w:bookmarkStart w:id="0" w:name="_Toc526932396"/>
      <w:r w:rsidRPr="00627931">
        <w:rPr>
          <w:color w:val="00A499"/>
          <w:lang w:val="cs-CZ"/>
        </w:rPr>
        <w:t>Zdůvodnění užití obchodního označení výrobku (viz také odst. 4.3 zadávací dokumentace)</w:t>
      </w:r>
    </w:p>
    <w:p w14:paraId="42945067" w14:textId="121FB376" w:rsidR="00F46F1D" w:rsidRPr="00D36566" w:rsidRDefault="00F46F1D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>Komplementární systémy mají za cíl umožnit uživatelské komunitě přístup k technologiím a</w:t>
      </w:r>
      <w:r w:rsidR="00233A2A">
        <w:rPr>
          <w:lang w:val="cs-CZ"/>
        </w:rPr>
        <w:t> </w:t>
      </w:r>
      <w:r w:rsidRPr="00D36566">
        <w:rPr>
          <w:lang w:val="cs-CZ"/>
        </w:rPr>
        <w:t>architekturám, které jsou v ČR dosud nezvyklé nebo nedostupné, současně se však jedná o</w:t>
      </w:r>
      <w:r w:rsidR="00233A2A">
        <w:rPr>
          <w:lang w:val="cs-CZ"/>
        </w:rPr>
        <w:t> </w:t>
      </w:r>
      <w:r w:rsidRPr="00D36566">
        <w:rPr>
          <w:lang w:val="cs-CZ"/>
        </w:rPr>
        <w:t>technologie perspektivní nebo široce akceptované zejména v Asii a ve Spojených státech. Rozšíření dostupného prostoru výpočetních technologií je důležité pro robustnost a konkurenceschopnost výzkumného prostředí v ČR. Komplementární systémy poskytnou vědeckým týmům příležitost vyniknout v nových doménách výzkumu.</w:t>
      </w:r>
    </w:p>
    <w:p w14:paraId="79E0BA40" w14:textId="77777777" w:rsidR="00D65436" w:rsidRPr="00D36566" w:rsidRDefault="006A48CF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Výpočetním technologiím v ČR a Evropě dominují architektury x86_64 a </w:t>
      </w:r>
      <w:proofErr w:type="spellStart"/>
      <w:r w:rsidRPr="00D36566">
        <w:rPr>
          <w:lang w:val="cs-CZ"/>
        </w:rPr>
        <w:t>Nvidia</w:t>
      </w:r>
      <w:proofErr w:type="spellEnd"/>
      <w:r w:rsidRPr="00D36566">
        <w:rPr>
          <w:lang w:val="cs-CZ"/>
        </w:rPr>
        <w:t xml:space="preserve"> GPGPU. Postupné investice umožňují zahrnout do Projektu i menší komplementární clustery, pomocí kterých bude uživatelům nabídnut přístup k dalším výpočetním architekturám, které se v současné době aktivně rozvíjejí v oblasti HPC. </w:t>
      </w:r>
    </w:p>
    <w:p w14:paraId="6E3AB2DB" w14:textId="23FB0D17" w:rsidR="006A48CF" w:rsidRPr="00D36566" w:rsidRDefault="006A48CF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V komplementárních systémech I. bylo portfolio nabízených systémů rozšířeno o ARM 8.2 systém založený na procesoru A64FX, který je srdcem počítače </w:t>
      </w:r>
      <w:proofErr w:type="spellStart"/>
      <w:r w:rsidRPr="00D36566">
        <w:rPr>
          <w:lang w:val="cs-CZ"/>
        </w:rPr>
        <w:t>Fugaku</w:t>
      </w:r>
      <w:proofErr w:type="spellEnd"/>
      <w:r w:rsidRPr="00D36566">
        <w:rPr>
          <w:lang w:val="cs-CZ"/>
        </w:rPr>
        <w:t xml:space="preserve">, servery s AMD CPU, GP-GPU a </w:t>
      </w:r>
      <w:proofErr w:type="spellStart"/>
      <w:r w:rsidRPr="00D36566">
        <w:rPr>
          <w:lang w:val="cs-CZ"/>
        </w:rPr>
        <w:t>Xilinx</w:t>
      </w:r>
      <w:proofErr w:type="spellEnd"/>
      <w:r w:rsidRPr="00D36566">
        <w:rPr>
          <w:lang w:val="cs-CZ"/>
        </w:rPr>
        <w:t xml:space="preserve"> FPGA</w:t>
      </w:r>
      <w:r w:rsidR="00893AEB" w:rsidRPr="00D36566">
        <w:rPr>
          <w:lang w:val="cs-CZ"/>
        </w:rPr>
        <w:t xml:space="preserve"> a servery s Intel CPU a Intel FPGA.</w:t>
      </w:r>
    </w:p>
    <w:p w14:paraId="1C99B08B" w14:textId="2D1D81B2" w:rsidR="00893AEB" w:rsidRPr="00D36566" w:rsidRDefault="00893AEB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>Komplementární systémy I, však stále nepokrývají všechny důležité technologie, ke kterým nemají naši uživatelé běžný přístup</w:t>
      </w:r>
      <w:r w:rsidR="00B82D81" w:rsidRPr="00D36566">
        <w:rPr>
          <w:lang w:val="cs-CZ"/>
        </w:rPr>
        <w:t>. Proto je nadále rozšiřujeme o následující technologie</w:t>
      </w:r>
      <w:r w:rsidR="00D65436" w:rsidRPr="00D36566">
        <w:rPr>
          <w:lang w:val="cs-CZ"/>
        </w:rPr>
        <w:t xml:space="preserve"> v rámci veřejné zakázky Komplementární systémy II</w:t>
      </w:r>
      <w:r w:rsidR="0036401A" w:rsidRPr="00D36566">
        <w:rPr>
          <w:lang w:val="cs-CZ"/>
        </w:rPr>
        <w:t xml:space="preserve">: </w:t>
      </w:r>
      <w:r w:rsidR="00EE3F27" w:rsidRPr="00D36566">
        <w:rPr>
          <w:lang w:val="cs-CZ"/>
        </w:rPr>
        <w:t xml:space="preserve">(i) </w:t>
      </w:r>
      <w:r w:rsidR="00F976B6" w:rsidRPr="00D36566">
        <w:rPr>
          <w:lang w:val="cs-CZ"/>
        </w:rPr>
        <w:t>kombinace ARM procesorů s GPU akcelerátory a současně s</w:t>
      </w:r>
      <w:r w:rsidR="00233A2A">
        <w:rPr>
          <w:lang w:val="cs-CZ"/>
        </w:rPr>
        <w:t> </w:t>
      </w:r>
      <w:r w:rsidR="00F976B6" w:rsidRPr="00D36566">
        <w:rPr>
          <w:lang w:val="cs-CZ"/>
        </w:rPr>
        <w:t>programovatelnými síťov</w:t>
      </w:r>
      <w:r w:rsidR="00BF57D6">
        <w:rPr>
          <w:lang w:val="cs-CZ"/>
        </w:rPr>
        <w:t>ý</w:t>
      </w:r>
      <w:r w:rsidR="00F976B6" w:rsidRPr="00D36566">
        <w:rPr>
          <w:lang w:val="cs-CZ"/>
        </w:rPr>
        <w:t xml:space="preserve">mi akcelerátory (DPU), </w:t>
      </w:r>
      <w:r w:rsidR="00EE3F27" w:rsidRPr="00D36566">
        <w:rPr>
          <w:lang w:val="cs-CZ"/>
        </w:rPr>
        <w:t>(</w:t>
      </w:r>
      <w:proofErr w:type="spellStart"/>
      <w:r w:rsidR="00EE3F27" w:rsidRPr="00D36566">
        <w:rPr>
          <w:lang w:val="cs-CZ"/>
        </w:rPr>
        <w:t>ii</w:t>
      </w:r>
      <w:proofErr w:type="spellEnd"/>
      <w:r w:rsidR="00EE3F27" w:rsidRPr="00D36566">
        <w:rPr>
          <w:lang w:val="cs-CZ"/>
        </w:rPr>
        <w:t>) n</w:t>
      </w:r>
      <w:r w:rsidR="00F976B6" w:rsidRPr="00D36566">
        <w:rPr>
          <w:lang w:val="cs-CZ"/>
        </w:rPr>
        <w:t xml:space="preserve">ové typy procesorů, které díky </w:t>
      </w:r>
      <w:proofErr w:type="spellStart"/>
      <w:r w:rsidR="00F976B6" w:rsidRPr="00D36566">
        <w:rPr>
          <w:lang w:val="cs-CZ"/>
        </w:rPr>
        <w:t>chipletové</w:t>
      </w:r>
      <w:proofErr w:type="spellEnd"/>
      <w:r w:rsidR="00F976B6" w:rsidRPr="00D36566">
        <w:rPr>
          <w:lang w:val="cs-CZ"/>
        </w:rPr>
        <w:t xml:space="preserve"> technologii mají řádově větší </w:t>
      </w:r>
      <w:proofErr w:type="spellStart"/>
      <w:r w:rsidR="00F976B6" w:rsidRPr="00D36566">
        <w:rPr>
          <w:lang w:val="cs-CZ"/>
        </w:rPr>
        <w:t>cache</w:t>
      </w:r>
      <w:proofErr w:type="spellEnd"/>
      <w:r w:rsidR="00F976B6" w:rsidRPr="00D36566">
        <w:rPr>
          <w:lang w:val="cs-CZ"/>
        </w:rPr>
        <w:t xml:space="preserve">, </w:t>
      </w:r>
      <w:r w:rsidR="00EE3F27" w:rsidRPr="00D36566">
        <w:rPr>
          <w:lang w:val="cs-CZ"/>
        </w:rPr>
        <w:t>(</w:t>
      </w:r>
      <w:proofErr w:type="spellStart"/>
      <w:r w:rsidR="00EE3F27" w:rsidRPr="00D36566">
        <w:rPr>
          <w:lang w:val="cs-CZ"/>
        </w:rPr>
        <w:t>iii</w:t>
      </w:r>
      <w:proofErr w:type="spellEnd"/>
      <w:r w:rsidR="00EE3F27" w:rsidRPr="00D36566">
        <w:rPr>
          <w:lang w:val="cs-CZ"/>
        </w:rPr>
        <w:t>) v</w:t>
      </w:r>
      <w:r w:rsidR="00F976B6" w:rsidRPr="00D36566">
        <w:rPr>
          <w:lang w:val="cs-CZ"/>
        </w:rPr>
        <w:t xml:space="preserve">ýkonné procesory založené na </w:t>
      </w:r>
      <w:proofErr w:type="spellStart"/>
      <w:r w:rsidR="00F976B6" w:rsidRPr="00D36566">
        <w:rPr>
          <w:lang w:val="cs-CZ"/>
        </w:rPr>
        <w:t>Power</w:t>
      </w:r>
      <w:proofErr w:type="spellEnd"/>
      <w:r w:rsidR="00F976B6" w:rsidRPr="00D36566">
        <w:rPr>
          <w:lang w:val="cs-CZ"/>
        </w:rPr>
        <w:t xml:space="preserve"> architektuře, zde konkrétně Power10 a </w:t>
      </w:r>
      <w:r w:rsidR="00EE3F27" w:rsidRPr="00D36566">
        <w:rPr>
          <w:lang w:val="cs-CZ"/>
        </w:rPr>
        <w:t>(</w:t>
      </w:r>
      <w:proofErr w:type="spellStart"/>
      <w:r w:rsidR="00EE3F27" w:rsidRPr="00D36566">
        <w:rPr>
          <w:lang w:val="cs-CZ"/>
        </w:rPr>
        <w:t>iv</w:t>
      </w:r>
      <w:proofErr w:type="spellEnd"/>
      <w:r w:rsidR="00EE3F27" w:rsidRPr="00D36566">
        <w:rPr>
          <w:lang w:val="cs-CZ"/>
        </w:rPr>
        <w:t xml:space="preserve">) </w:t>
      </w:r>
      <w:r w:rsidR="00F976B6" w:rsidRPr="00D36566">
        <w:rPr>
          <w:lang w:val="cs-CZ"/>
        </w:rPr>
        <w:t xml:space="preserve">Virtuální GPU akcelerované pracovní stanice. </w:t>
      </w:r>
    </w:p>
    <w:p w14:paraId="0C18C253" w14:textId="76BB400E" w:rsidR="00DD44C1" w:rsidRPr="00D36566" w:rsidRDefault="00FE79D2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V souladu s cíli projektu je smyslem </w:t>
      </w:r>
      <w:r w:rsidR="00D74C18" w:rsidRPr="00D36566">
        <w:rPr>
          <w:lang w:val="cs-CZ"/>
        </w:rPr>
        <w:t>v rámci tohoto</w:t>
      </w:r>
      <w:r w:rsidRPr="00D36566">
        <w:rPr>
          <w:lang w:val="cs-CZ"/>
        </w:rPr>
        <w:t xml:space="preserve"> návrhu uživatelům e-</w:t>
      </w:r>
      <w:proofErr w:type="spellStart"/>
      <w:r w:rsidRPr="00D36566">
        <w:rPr>
          <w:lang w:val="cs-CZ"/>
        </w:rPr>
        <w:t>Infra</w:t>
      </w:r>
      <w:proofErr w:type="spellEnd"/>
      <w:r w:rsidRPr="00D36566">
        <w:rPr>
          <w:lang w:val="cs-CZ"/>
        </w:rPr>
        <w:t xml:space="preserve"> CZ nabídnout</w:t>
      </w:r>
      <w:r w:rsidR="00D74C18" w:rsidRPr="00D36566">
        <w:rPr>
          <w:lang w:val="cs-CZ"/>
        </w:rPr>
        <w:t xml:space="preserve"> mimo jiné</w:t>
      </w:r>
      <w:r w:rsidRPr="00D36566">
        <w:rPr>
          <w:lang w:val="cs-CZ"/>
        </w:rPr>
        <w:t xml:space="preserve"> tři nové tech</w:t>
      </w:r>
      <w:r w:rsidR="00B902A6" w:rsidRPr="00D36566">
        <w:rPr>
          <w:lang w:val="cs-CZ"/>
        </w:rPr>
        <w:t>nologie</w:t>
      </w:r>
      <w:r w:rsidR="00474EA3" w:rsidRPr="00D36566">
        <w:rPr>
          <w:lang w:val="cs-CZ"/>
        </w:rPr>
        <w:t xml:space="preserve">, u kterých používáme obchodní názvy. </w:t>
      </w:r>
    </w:p>
    <w:p w14:paraId="363F3756" w14:textId="7E90F4C1" w:rsidR="00DD44C1" w:rsidRPr="00D36566" w:rsidRDefault="00DD44C1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>První z </w:t>
      </w:r>
      <w:r w:rsidR="00C71756" w:rsidRPr="00D36566">
        <w:rPr>
          <w:lang w:val="cs-CZ"/>
        </w:rPr>
        <w:t>n</w:t>
      </w:r>
      <w:r w:rsidRPr="00D36566">
        <w:rPr>
          <w:lang w:val="cs-CZ"/>
        </w:rPr>
        <w:t xml:space="preserve">ich je technologie procesorů </w:t>
      </w:r>
      <w:r w:rsidR="00C71756" w:rsidRPr="00D36566">
        <w:rPr>
          <w:lang w:val="cs-CZ"/>
        </w:rPr>
        <w:t>pod obchodním názvem Power10. Procesory založené na této architektuře jsou mimo jiné používány v USA, kde jsou</w:t>
      </w:r>
      <w:r w:rsidR="00BF57D6">
        <w:rPr>
          <w:lang w:val="cs-CZ"/>
        </w:rPr>
        <w:t xml:space="preserve"> na</w:t>
      </w:r>
      <w:r w:rsidR="00C71756" w:rsidRPr="00D36566">
        <w:rPr>
          <w:lang w:val="cs-CZ"/>
        </w:rPr>
        <w:t xml:space="preserve"> této technologii vybudovány počítače Summit či Sierra (Summit byl č.1 do roku 2019 a současně je na 4. pozici, Sierra o stupeň horší). Jedná se tedy jak historicky, tak do budoucna o důležitou HPC technologii a je nutné nabídnou uživatelům vývojové prostředí. </w:t>
      </w:r>
      <w:r w:rsidR="00D06968" w:rsidRPr="00D36566">
        <w:rPr>
          <w:lang w:val="cs-CZ"/>
        </w:rPr>
        <w:t xml:space="preserve">Procesory této architektury jsou dostupné pouze od výrobce IBM a </w:t>
      </w:r>
      <w:r w:rsidR="003D3406" w:rsidRPr="00D36566">
        <w:rPr>
          <w:lang w:val="cs-CZ"/>
        </w:rPr>
        <w:t>není dostupná</w:t>
      </w:r>
      <w:r w:rsidR="00D06968" w:rsidRPr="00D36566">
        <w:rPr>
          <w:lang w:val="cs-CZ"/>
        </w:rPr>
        <w:t xml:space="preserve"> </w:t>
      </w:r>
      <w:r w:rsidR="003D3406" w:rsidRPr="00D36566">
        <w:rPr>
          <w:lang w:val="cs-CZ"/>
        </w:rPr>
        <w:t xml:space="preserve">alternativa. </w:t>
      </w:r>
    </w:p>
    <w:p w14:paraId="645C7F2F" w14:textId="645C2339" w:rsidR="003D3406" w:rsidRPr="00D36566" w:rsidRDefault="003D3406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Druhou z nich jsou nové typy procesorů, které díky </w:t>
      </w:r>
      <w:proofErr w:type="spellStart"/>
      <w:r w:rsidRPr="00D36566">
        <w:rPr>
          <w:lang w:val="cs-CZ"/>
        </w:rPr>
        <w:t>chipletové</w:t>
      </w:r>
      <w:proofErr w:type="spellEnd"/>
      <w:r w:rsidRPr="00D36566">
        <w:rPr>
          <w:lang w:val="cs-CZ"/>
        </w:rPr>
        <w:t xml:space="preserve"> technologii mají řádově větší </w:t>
      </w:r>
      <w:proofErr w:type="spellStart"/>
      <w:r w:rsidRPr="00D36566">
        <w:rPr>
          <w:lang w:val="cs-CZ"/>
        </w:rPr>
        <w:t>cache</w:t>
      </w:r>
      <w:proofErr w:type="spellEnd"/>
      <w:r w:rsidRPr="00D36566">
        <w:rPr>
          <w:lang w:val="cs-CZ"/>
        </w:rPr>
        <w:t xml:space="preserve">. S nástupem </w:t>
      </w:r>
      <w:proofErr w:type="spellStart"/>
      <w:r w:rsidRPr="00D36566">
        <w:rPr>
          <w:lang w:val="cs-CZ"/>
        </w:rPr>
        <w:t>chipletové</w:t>
      </w:r>
      <w:proofErr w:type="spellEnd"/>
      <w:r w:rsidRPr="00D36566">
        <w:rPr>
          <w:lang w:val="cs-CZ"/>
        </w:rPr>
        <w:t xml:space="preserve"> technologie začal výrobce procesorů AMD jako první nabízet procesor s obrovskou L3 </w:t>
      </w:r>
      <w:proofErr w:type="spellStart"/>
      <w:r w:rsidRPr="00D36566">
        <w:rPr>
          <w:lang w:val="cs-CZ"/>
        </w:rPr>
        <w:t>cache</w:t>
      </w:r>
      <w:proofErr w:type="spellEnd"/>
      <w:r w:rsidRPr="00D36566">
        <w:rPr>
          <w:lang w:val="cs-CZ"/>
        </w:rPr>
        <w:t xml:space="preserve">. Jedná se o parametr, který zásadně ovlivní optimalizace kódu pro výpočetně náročné úlohy. Tato </w:t>
      </w:r>
      <w:proofErr w:type="spellStart"/>
      <w:r w:rsidRPr="00D36566">
        <w:rPr>
          <w:lang w:val="cs-CZ"/>
        </w:rPr>
        <w:t>partice</w:t>
      </w:r>
      <w:proofErr w:type="spellEnd"/>
      <w:r w:rsidRPr="00D36566">
        <w:rPr>
          <w:lang w:val="cs-CZ"/>
        </w:rPr>
        <w:t xml:space="preserve"> umožní uživatelům připravit jejich kódy na tento nový typ procesorů. </w:t>
      </w:r>
      <w:r w:rsidR="000E6869" w:rsidRPr="00D36566">
        <w:rPr>
          <w:lang w:val="cs-CZ"/>
        </w:rPr>
        <w:t xml:space="preserve">V současné době je jediný výrobce těchto procesorů </w:t>
      </w:r>
      <w:r w:rsidR="00D74C18" w:rsidRPr="00D36566">
        <w:rPr>
          <w:lang w:val="cs-CZ"/>
        </w:rPr>
        <w:t xml:space="preserve">AMD </w:t>
      </w:r>
      <w:r w:rsidR="00474EA3" w:rsidRPr="00D36566">
        <w:rPr>
          <w:lang w:val="cs-CZ"/>
        </w:rPr>
        <w:t xml:space="preserve">a jeho model Milan-X. </w:t>
      </w:r>
    </w:p>
    <w:p w14:paraId="3CC2945F" w14:textId="6270E7EB" w:rsidR="00642161" w:rsidRPr="00D36566" w:rsidRDefault="00642161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Poslední technologií </w:t>
      </w:r>
      <w:r w:rsidR="006F6458" w:rsidRPr="00D36566">
        <w:rPr>
          <w:lang w:val="cs-CZ"/>
        </w:rPr>
        <w:t>je v</w:t>
      </w:r>
      <w:r w:rsidRPr="00D36566">
        <w:rPr>
          <w:lang w:val="cs-CZ"/>
        </w:rPr>
        <w:t>irtuální GPU akcelerované pracovní stanice.</w:t>
      </w:r>
      <w:r w:rsidR="006F6458" w:rsidRPr="00D36566">
        <w:rPr>
          <w:lang w:val="cs-CZ"/>
        </w:rPr>
        <w:t xml:space="preserve"> Tyto j</w:t>
      </w:r>
      <w:r w:rsidRPr="00D36566">
        <w:rPr>
          <w:lang w:val="cs-CZ"/>
        </w:rPr>
        <w:t>sou primárně určeny uživatelům pro efektivní „</w:t>
      </w:r>
      <w:proofErr w:type="spellStart"/>
      <w:r w:rsidRPr="00D36566">
        <w:rPr>
          <w:lang w:val="cs-CZ"/>
        </w:rPr>
        <w:t>pre-processing</w:t>
      </w:r>
      <w:proofErr w:type="spellEnd"/>
      <w:r w:rsidRPr="00D36566">
        <w:rPr>
          <w:lang w:val="cs-CZ"/>
        </w:rPr>
        <w:t>“ a „post-</w:t>
      </w:r>
      <w:proofErr w:type="spellStart"/>
      <w:r w:rsidRPr="00D36566">
        <w:rPr>
          <w:lang w:val="cs-CZ"/>
        </w:rPr>
        <w:t>processing</w:t>
      </w:r>
      <w:proofErr w:type="spellEnd"/>
      <w:r w:rsidRPr="00D36566">
        <w:rPr>
          <w:lang w:val="cs-CZ"/>
        </w:rPr>
        <w:t xml:space="preserve">“ úloh nebo modelů pro rozsáhlé simulace nebo výpočty. Cílem je dát uživatelům prostředky pro velmi výkonné virtuální prostředí se schopností přenosu obrazu s minimální latencí a maximálním výkonem – tedy snahou je poskytnout maximální uživatelský komfort pro pohodlnou práci se vzdálenou pracovní plochou, s hardwarovou akcelerací 3D aplikací. </w:t>
      </w:r>
      <w:r w:rsidR="0037046A" w:rsidRPr="00D36566">
        <w:rPr>
          <w:lang w:val="cs-CZ"/>
        </w:rPr>
        <w:t>Konkrétně cílíme na</w:t>
      </w:r>
      <w:r w:rsidR="007E751D" w:rsidRPr="00D36566">
        <w:rPr>
          <w:lang w:val="cs-CZ"/>
        </w:rPr>
        <w:t xml:space="preserve"> softwarové řešení</w:t>
      </w:r>
      <w:r w:rsidR="0037046A" w:rsidRPr="00D36566">
        <w:rPr>
          <w:lang w:val="cs-CZ"/>
        </w:rPr>
        <w:t xml:space="preserve"> </w:t>
      </w:r>
      <w:r w:rsidR="007E751D" w:rsidRPr="00D36566">
        <w:rPr>
          <w:lang w:val="cs-CZ"/>
        </w:rPr>
        <w:t xml:space="preserve">NVIDIA RTX </w:t>
      </w:r>
      <w:proofErr w:type="spellStart"/>
      <w:r w:rsidR="007E751D" w:rsidRPr="00D36566">
        <w:rPr>
          <w:lang w:val="cs-CZ"/>
        </w:rPr>
        <w:t>Virtual</w:t>
      </w:r>
      <w:proofErr w:type="spellEnd"/>
      <w:r w:rsidR="007E751D" w:rsidRPr="00D36566">
        <w:rPr>
          <w:lang w:val="cs-CZ"/>
        </w:rPr>
        <w:t xml:space="preserve"> Workstation (</w:t>
      </w:r>
      <w:proofErr w:type="spellStart"/>
      <w:r w:rsidR="007E751D" w:rsidRPr="00D36566">
        <w:rPr>
          <w:lang w:val="cs-CZ"/>
        </w:rPr>
        <w:t>vWS</w:t>
      </w:r>
      <w:proofErr w:type="spellEnd"/>
      <w:r w:rsidR="007E751D" w:rsidRPr="00D36566">
        <w:rPr>
          <w:lang w:val="cs-CZ"/>
        </w:rPr>
        <w:t xml:space="preserve">). </w:t>
      </w:r>
      <w:r w:rsidR="005F1AD9" w:rsidRPr="00D36566">
        <w:rPr>
          <w:lang w:val="cs-CZ"/>
        </w:rPr>
        <w:t>Díky tomu, že</w:t>
      </w:r>
      <w:r w:rsidR="00233A2A">
        <w:rPr>
          <w:lang w:val="cs-CZ"/>
        </w:rPr>
        <w:t> </w:t>
      </w:r>
      <w:r w:rsidR="005F1AD9" w:rsidRPr="00D36566">
        <w:rPr>
          <w:lang w:val="cs-CZ"/>
        </w:rPr>
        <w:t>GPU</w:t>
      </w:r>
      <w:r w:rsidR="00D36566">
        <w:rPr>
          <w:lang w:val="cs-CZ"/>
        </w:rPr>
        <w:t xml:space="preserve"> hardware, jeho</w:t>
      </w:r>
      <w:r w:rsidR="005F1AD9" w:rsidRPr="00D36566">
        <w:rPr>
          <w:lang w:val="cs-CZ"/>
        </w:rPr>
        <w:t xml:space="preserve"> specializované </w:t>
      </w:r>
      <w:r w:rsidR="007621F1">
        <w:rPr>
          <w:lang w:val="cs-CZ"/>
        </w:rPr>
        <w:t xml:space="preserve">uzavřené </w:t>
      </w:r>
      <w:r w:rsidR="005F1AD9" w:rsidRPr="00D36566">
        <w:rPr>
          <w:lang w:val="cs-CZ"/>
        </w:rPr>
        <w:t xml:space="preserve">ovladače </w:t>
      </w:r>
      <w:r w:rsidR="00D36566">
        <w:rPr>
          <w:lang w:val="cs-CZ"/>
        </w:rPr>
        <w:t xml:space="preserve">a </w:t>
      </w:r>
      <w:r w:rsidR="007621F1">
        <w:rPr>
          <w:lang w:val="cs-CZ"/>
        </w:rPr>
        <w:t xml:space="preserve">uzavřená </w:t>
      </w:r>
      <w:r w:rsidR="00D36566">
        <w:rPr>
          <w:lang w:val="cs-CZ"/>
        </w:rPr>
        <w:t xml:space="preserve">nadstavba, která poskytuje požadovanou službu </w:t>
      </w:r>
      <w:r w:rsidR="007621F1">
        <w:rPr>
          <w:lang w:val="cs-CZ"/>
        </w:rPr>
        <w:t>jsou od stejného výrobce</w:t>
      </w:r>
      <w:r w:rsidR="00BF57D6">
        <w:rPr>
          <w:lang w:val="cs-CZ"/>
        </w:rPr>
        <w:t>,</w:t>
      </w:r>
      <w:r w:rsidR="007621F1">
        <w:rPr>
          <w:lang w:val="cs-CZ"/>
        </w:rPr>
        <w:t xml:space="preserve"> </w:t>
      </w:r>
      <w:r w:rsidR="004E365D">
        <w:rPr>
          <w:lang w:val="cs-CZ"/>
        </w:rPr>
        <w:t>dosahuje toto řešení nejlepšího výkonu</w:t>
      </w:r>
      <w:r w:rsidR="00F66BDA">
        <w:rPr>
          <w:lang w:val="cs-CZ"/>
        </w:rPr>
        <w:t xml:space="preserve">. Podobné řešení se dá sestavit </w:t>
      </w:r>
      <w:r w:rsidR="00616460">
        <w:rPr>
          <w:lang w:val="cs-CZ"/>
        </w:rPr>
        <w:t>i pomocí open-source řešení</w:t>
      </w:r>
      <w:r w:rsidR="00A11CAA">
        <w:rPr>
          <w:lang w:val="cs-CZ"/>
        </w:rPr>
        <w:t xml:space="preserve"> (</w:t>
      </w:r>
      <w:proofErr w:type="spellStart"/>
      <w:r w:rsidR="00A11CAA">
        <w:rPr>
          <w:lang w:val="cs-CZ"/>
        </w:rPr>
        <w:t>VirtualGL</w:t>
      </w:r>
      <w:proofErr w:type="spellEnd"/>
      <w:r w:rsidR="00A11CAA">
        <w:rPr>
          <w:lang w:val="cs-CZ"/>
        </w:rPr>
        <w:t xml:space="preserve"> a VNC server a </w:t>
      </w:r>
      <w:proofErr w:type="spellStart"/>
      <w:r w:rsidR="00A11CAA">
        <w:rPr>
          <w:lang w:val="cs-CZ"/>
        </w:rPr>
        <w:t>client</w:t>
      </w:r>
      <w:proofErr w:type="spellEnd"/>
      <w:r w:rsidR="00A11CAA">
        <w:rPr>
          <w:lang w:val="cs-CZ"/>
        </w:rPr>
        <w:t>)</w:t>
      </w:r>
      <w:r w:rsidR="00616460">
        <w:rPr>
          <w:lang w:val="cs-CZ"/>
        </w:rPr>
        <w:t>, které ale nedosahují stability a výkon</w:t>
      </w:r>
      <w:r w:rsidR="00A11CAA">
        <w:rPr>
          <w:lang w:val="cs-CZ"/>
        </w:rPr>
        <w:t>u</w:t>
      </w:r>
      <w:r w:rsidR="00616460">
        <w:rPr>
          <w:lang w:val="cs-CZ"/>
        </w:rPr>
        <w:t xml:space="preserve"> požadovaného řešení</w:t>
      </w:r>
      <w:r w:rsidR="00601E4E">
        <w:rPr>
          <w:lang w:val="cs-CZ"/>
        </w:rPr>
        <w:t xml:space="preserve"> a neumožnuje sdílení zdrojů</w:t>
      </w:r>
      <w:r w:rsidR="001A3E34">
        <w:rPr>
          <w:lang w:val="cs-CZ"/>
        </w:rPr>
        <w:t xml:space="preserve"> grafických karet pro více uživatelů</w:t>
      </w:r>
      <w:r w:rsidR="00616460">
        <w:rPr>
          <w:lang w:val="cs-CZ"/>
        </w:rPr>
        <w:t>.</w:t>
      </w:r>
      <w:r w:rsidR="001A3E34">
        <w:rPr>
          <w:lang w:val="cs-CZ"/>
        </w:rPr>
        <w:t xml:space="preserve"> Pro národní superpo</w:t>
      </w:r>
      <w:r w:rsidR="00F40E28">
        <w:rPr>
          <w:lang w:val="cs-CZ"/>
        </w:rPr>
        <w:t xml:space="preserve">čítačové centrum je </w:t>
      </w:r>
      <w:r w:rsidR="00B11E42">
        <w:rPr>
          <w:lang w:val="cs-CZ"/>
        </w:rPr>
        <w:t xml:space="preserve">mimořádně </w:t>
      </w:r>
      <w:r w:rsidR="00F40E28">
        <w:rPr>
          <w:lang w:val="cs-CZ"/>
        </w:rPr>
        <w:t xml:space="preserve">důležitá schopnost </w:t>
      </w:r>
      <w:r w:rsidR="00D25038">
        <w:rPr>
          <w:lang w:val="cs-CZ"/>
        </w:rPr>
        <w:t xml:space="preserve">bezpečného </w:t>
      </w:r>
      <w:r w:rsidR="00F40E28">
        <w:rPr>
          <w:lang w:val="cs-CZ"/>
        </w:rPr>
        <w:t xml:space="preserve">sdílení </w:t>
      </w:r>
      <w:r w:rsidR="00B11E42">
        <w:rPr>
          <w:lang w:val="cs-CZ"/>
        </w:rPr>
        <w:t>výpočetních zdrojů pro celou akademickou komunitu České republiky</w:t>
      </w:r>
      <w:r w:rsidR="00AF5096">
        <w:rPr>
          <w:lang w:val="cs-CZ"/>
        </w:rPr>
        <w:t xml:space="preserve"> což je unikátní schopnost požadovaného řešení.</w:t>
      </w:r>
    </w:p>
    <w:p w14:paraId="3EA77E3E" w14:textId="77777777" w:rsidR="00642161" w:rsidRPr="00D36566" w:rsidRDefault="00642161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lastRenderedPageBreak/>
        <w:t>Obchodní označení konkrétních výrobků bylo užito s cílem zajistit naplnění cílů projektu, z důvodů technických vazeb a technologických výlučností je z výše uvedených důvodu potřebné cílit na konkrétní produkty.</w:t>
      </w:r>
    </w:p>
    <w:p w14:paraId="6AA96A97" w14:textId="301CF85D" w:rsidR="00893AEB" w:rsidRPr="00627931" w:rsidRDefault="00893AEB" w:rsidP="00233A2A">
      <w:pPr>
        <w:pStyle w:val="Nadpis2"/>
        <w:numPr>
          <w:ilvl w:val="0"/>
          <w:numId w:val="0"/>
        </w:numPr>
        <w:jc w:val="both"/>
        <w:rPr>
          <w:color w:val="00A499"/>
          <w:lang w:val="cs-CZ"/>
        </w:rPr>
      </w:pPr>
      <w:proofErr w:type="spellStart"/>
      <w:r w:rsidRPr="00627931">
        <w:rPr>
          <w:b/>
          <w:bCs/>
          <w:color w:val="00A499"/>
          <w:lang w:val="cs-CZ"/>
        </w:rPr>
        <w:t>Partice</w:t>
      </w:r>
      <w:proofErr w:type="spellEnd"/>
      <w:r w:rsidRPr="00627931">
        <w:rPr>
          <w:b/>
          <w:bCs/>
          <w:color w:val="00A499"/>
          <w:lang w:val="cs-CZ"/>
        </w:rPr>
        <w:t xml:space="preserve"> 1:</w:t>
      </w:r>
      <w:r w:rsidRPr="00627931">
        <w:rPr>
          <w:color w:val="00A499"/>
          <w:lang w:val="cs-CZ"/>
        </w:rPr>
        <w:t xml:space="preserve"> Kombinace ARM procesorů s GPU akcelerátory a současně s programovatelnými síťov</w:t>
      </w:r>
      <w:r w:rsidR="00BF57D6">
        <w:rPr>
          <w:color w:val="00A499"/>
          <w:lang w:val="cs-CZ"/>
        </w:rPr>
        <w:t>ý</w:t>
      </w:r>
      <w:r w:rsidRPr="00627931">
        <w:rPr>
          <w:color w:val="00A499"/>
          <w:lang w:val="cs-CZ"/>
        </w:rPr>
        <w:t xml:space="preserve">mi akcelerátory </w:t>
      </w:r>
      <w:r w:rsidR="00993F26" w:rsidRPr="00627931">
        <w:rPr>
          <w:color w:val="00A499"/>
          <w:lang w:val="cs-CZ"/>
        </w:rPr>
        <w:t>(DPU)</w:t>
      </w:r>
    </w:p>
    <w:p w14:paraId="1E7545D8" w14:textId="7491DA35" w:rsidR="00D21A75" w:rsidRPr="00D36566" w:rsidRDefault="00736143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Separátně ARM procesory a NVIDIA GPU akcelerátory jsou klíčové technologie a základní stavební kameny největších počítačů světa (Japonsko – </w:t>
      </w:r>
      <w:proofErr w:type="spellStart"/>
      <w:r w:rsidRPr="00D36566">
        <w:rPr>
          <w:lang w:val="cs-CZ"/>
        </w:rPr>
        <w:t>Fugaku</w:t>
      </w:r>
      <w:proofErr w:type="spellEnd"/>
      <w:r w:rsidRPr="00D36566">
        <w:rPr>
          <w:lang w:val="cs-CZ"/>
        </w:rPr>
        <w:t xml:space="preserve"> </w:t>
      </w:r>
      <w:r w:rsidR="00233A2A">
        <w:rPr>
          <w:lang w:val="cs-CZ"/>
        </w:rPr>
        <w:t>/</w:t>
      </w:r>
      <w:r w:rsidRPr="00D36566">
        <w:rPr>
          <w:lang w:val="cs-CZ"/>
        </w:rPr>
        <w:t>ARM</w:t>
      </w:r>
      <w:r w:rsidR="00233A2A">
        <w:rPr>
          <w:lang w:val="cs-CZ"/>
        </w:rPr>
        <w:t>/</w:t>
      </w:r>
      <w:r w:rsidRPr="00D36566">
        <w:rPr>
          <w:lang w:val="cs-CZ"/>
        </w:rPr>
        <w:t xml:space="preserve">, USA – Summit </w:t>
      </w:r>
      <w:r w:rsidR="00233A2A">
        <w:rPr>
          <w:lang w:val="cs-CZ"/>
        </w:rPr>
        <w:t>/</w:t>
      </w:r>
      <w:r w:rsidRPr="00D36566">
        <w:rPr>
          <w:lang w:val="cs-CZ"/>
        </w:rPr>
        <w:t>GPU</w:t>
      </w:r>
      <w:r w:rsidR="00233A2A">
        <w:rPr>
          <w:lang w:val="cs-CZ"/>
        </w:rPr>
        <w:t>/</w:t>
      </w:r>
      <w:r w:rsidRPr="00D36566">
        <w:rPr>
          <w:lang w:val="cs-CZ"/>
        </w:rPr>
        <w:t xml:space="preserve">, Německo – </w:t>
      </w:r>
      <w:proofErr w:type="spellStart"/>
      <w:r w:rsidR="00D21A75" w:rsidRPr="00D36566">
        <w:rPr>
          <w:lang w:val="cs-CZ"/>
        </w:rPr>
        <w:t>Juwels</w:t>
      </w:r>
      <w:proofErr w:type="spellEnd"/>
      <w:r w:rsidR="00D21A75" w:rsidRPr="00D36566">
        <w:rPr>
          <w:lang w:val="cs-CZ"/>
        </w:rPr>
        <w:t xml:space="preserve"> </w:t>
      </w:r>
      <w:r w:rsidRPr="00D36566">
        <w:rPr>
          <w:lang w:val="cs-CZ"/>
        </w:rPr>
        <w:t xml:space="preserve">Booster </w:t>
      </w:r>
      <w:r w:rsidR="00233A2A">
        <w:rPr>
          <w:lang w:val="cs-CZ"/>
        </w:rPr>
        <w:t>/</w:t>
      </w:r>
      <w:r w:rsidR="00D21A75" w:rsidRPr="00D36566">
        <w:rPr>
          <w:lang w:val="cs-CZ"/>
        </w:rPr>
        <w:t>GPU</w:t>
      </w:r>
      <w:r w:rsidR="00233A2A">
        <w:rPr>
          <w:lang w:val="cs-CZ"/>
        </w:rPr>
        <w:t>/</w:t>
      </w:r>
      <w:r w:rsidR="00D21A75" w:rsidRPr="00D36566">
        <w:rPr>
          <w:lang w:val="cs-CZ"/>
        </w:rPr>
        <w:t>). V roce 2023 plánuje Švýcarské centrum CSCS rozšířit superpočítač ALPS</w:t>
      </w:r>
      <w:r w:rsidR="00D21A75" w:rsidRPr="00D36566">
        <w:rPr>
          <w:rStyle w:val="Znakapoznpodarou"/>
          <w:lang w:val="cs-CZ"/>
        </w:rPr>
        <w:footnoteReference w:id="2"/>
      </w:r>
      <w:r w:rsidR="00D21A75" w:rsidRPr="00D36566">
        <w:rPr>
          <w:lang w:val="cs-CZ"/>
        </w:rPr>
        <w:t xml:space="preserve"> o výpočetní uzly obsahující procesory GRACE úzce propojující ARM procesory s GPU akcelerátory. Tato </w:t>
      </w:r>
      <w:proofErr w:type="spellStart"/>
      <w:r w:rsidR="00D21A75" w:rsidRPr="00D36566">
        <w:rPr>
          <w:lang w:val="cs-CZ"/>
        </w:rPr>
        <w:t>partice</w:t>
      </w:r>
      <w:proofErr w:type="spellEnd"/>
      <w:r w:rsidR="00D21A75" w:rsidRPr="00D36566">
        <w:rPr>
          <w:lang w:val="cs-CZ"/>
        </w:rPr>
        <w:t xml:space="preserve"> potom umožní </w:t>
      </w:r>
      <w:proofErr w:type="spellStart"/>
      <w:r w:rsidR="00D21A75" w:rsidRPr="00D36566">
        <w:rPr>
          <w:lang w:val="cs-CZ"/>
        </w:rPr>
        <w:t>portování</w:t>
      </w:r>
      <w:proofErr w:type="spellEnd"/>
      <w:r w:rsidR="00D21A75" w:rsidRPr="00D36566">
        <w:rPr>
          <w:lang w:val="cs-CZ"/>
        </w:rPr>
        <w:t xml:space="preserve"> kódů na tento typ počítačů. </w:t>
      </w:r>
    </w:p>
    <w:p w14:paraId="20B6F6DA" w14:textId="731D318F" w:rsidR="00B82D81" w:rsidRPr="00D36566" w:rsidRDefault="00D21A75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Současně tato </w:t>
      </w:r>
      <w:proofErr w:type="spellStart"/>
      <w:r w:rsidRPr="00D36566">
        <w:rPr>
          <w:lang w:val="cs-CZ"/>
        </w:rPr>
        <w:t>partice</w:t>
      </w:r>
      <w:proofErr w:type="spellEnd"/>
      <w:r w:rsidRPr="00D36566">
        <w:rPr>
          <w:lang w:val="cs-CZ"/>
        </w:rPr>
        <w:t xml:space="preserve"> nabízí uživatelům přístup</w:t>
      </w:r>
      <w:r w:rsidR="00B82D81" w:rsidRPr="00D36566">
        <w:rPr>
          <w:lang w:val="cs-CZ"/>
        </w:rPr>
        <w:t xml:space="preserve"> k HW </w:t>
      </w:r>
      <w:r w:rsidR="00452BEB" w:rsidRPr="00D36566">
        <w:rPr>
          <w:lang w:val="cs-CZ"/>
        </w:rPr>
        <w:t>umožňující</w:t>
      </w:r>
      <w:r w:rsidR="00B82D81" w:rsidRPr="00D36566">
        <w:rPr>
          <w:lang w:val="cs-CZ"/>
        </w:rPr>
        <w:t xml:space="preserve"> vývoj aplikací podporující tzv. „in</w:t>
      </w:r>
      <w:r w:rsidR="00A3651C">
        <w:rPr>
          <w:lang w:val="cs-CZ"/>
        </w:rPr>
        <w:t> </w:t>
      </w:r>
      <w:r w:rsidR="00B82D81" w:rsidRPr="00D36566">
        <w:rPr>
          <w:lang w:val="cs-CZ"/>
        </w:rPr>
        <w:t xml:space="preserve">network </w:t>
      </w:r>
      <w:proofErr w:type="spellStart"/>
      <w:r w:rsidR="00B82D81" w:rsidRPr="00D36566">
        <w:rPr>
          <w:lang w:val="cs-CZ"/>
        </w:rPr>
        <w:t>computing</w:t>
      </w:r>
      <w:proofErr w:type="spellEnd"/>
      <w:r w:rsidR="00B82D81" w:rsidRPr="00D36566">
        <w:rPr>
          <w:lang w:val="cs-CZ"/>
        </w:rPr>
        <w:t>“, tedy zpracování dat pomocí síťových prvků. Zde se konkrétně jedná o chytré síťové karty (DPU)</w:t>
      </w:r>
      <w:r w:rsidR="00B4565E" w:rsidRPr="00D36566">
        <w:rPr>
          <w:rStyle w:val="Znakapoznpodarou"/>
          <w:lang w:val="cs-CZ"/>
        </w:rPr>
        <w:footnoteReference w:id="3"/>
      </w:r>
      <w:r w:rsidR="00B82D81" w:rsidRPr="00D36566">
        <w:rPr>
          <w:lang w:val="cs-CZ"/>
        </w:rPr>
        <w:t>.</w:t>
      </w:r>
    </w:p>
    <w:p w14:paraId="4E1CBEE6" w14:textId="64FAC966" w:rsidR="004D42C4" w:rsidRPr="00D36566" w:rsidRDefault="004D42C4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>Jelikož se jedná o několik různých technologií, požadujeme řešení, kde klíčové elementy (GPU, DPU) jsou od jednoho výrobce a ARM CPU je tímto výrobcem plně podporován</w:t>
      </w:r>
      <w:r w:rsidR="00B4565E" w:rsidRPr="00D36566">
        <w:rPr>
          <w:rStyle w:val="Znakapoznpodarou"/>
          <w:lang w:val="cs-CZ"/>
        </w:rPr>
        <w:footnoteReference w:id="4"/>
      </w:r>
      <w:r w:rsidRPr="00D36566">
        <w:rPr>
          <w:lang w:val="cs-CZ"/>
        </w:rPr>
        <w:t xml:space="preserve">. </w:t>
      </w:r>
    </w:p>
    <w:p w14:paraId="3857F14B" w14:textId="2112AD6D" w:rsidR="00893AEB" w:rsidRPr="00627931" w:rsidRDefault="00893AEB" w:rsidP="00233A2A">
      <w:pPr>
        <w:pStyle w:val="Nadpis2"/>
        <w:numPr>
          <w:ilvl w:val="0"/>
          <w:numId w:val="0"/>
        </w:numPr>
        <w:jc w:val="both"/>
        <w:rPr>
          <w:color w:val="00A499"/>
          <w:lang w:val="cs-CZ"/>
        </w:rPr>
      </w:pPr>
      <w:proofErr w:type="spellStart"/>
      <w:r w:rsidRPr="00627931">
        <w:rPr>
          <w:b/>
          <w:bCs/>
          <w:color w:val="00A499"/>
          <w:lang w:val="cs-CZ"/>
        </w:rPr>
        <w:t>Partice</w:t>
      </w:r>
      <w:proofErr w:type="spellEnd"/>
      <w:r w:rsidRPr="00627931">
        <w:rPr>
          <w:b/>
          <w:bCs/>
          <w:color w:val="00A499"/>
          <w:lang w:val="cs-CZ"/>
        </w:rPr>
        <w:t xml:space="preserve"> 2:</w:t>
      </w:r>
      <w:r w:rsidRPr="00627931">
        <w:rPr>
          <w:color w:val="00A499"/>
          <w:lang w:val="cs-CZ"/>
        </w:rPr>
        <w:t xml:space="preserve"> </w:t>
      </w:r>
      <w:r w:rsidR="00993F26" w:rsidRPr="00627931">
        <w:rPr>
          <w:color w:val="00A499"/>
          <w:lang w:val="cs-CZ"/>
        </w:rPr>
        <w:t>N</w:t>
      </w:r>
      <w:r w:rsidRPr="00627931">
        <w:rPr>
          <w:color w:val="00A499"/>
          <w:lang w:val="cs-CZ"/>
        </w:rPr>
        <w:t xml:space="preserve">ové typy procesorů, které díky </w:t>
      </w:r>
      <w:proofErr w:type="spellStart"/>
      <w:r w:rsidRPr="00627931">
        <w:rPr>
          <w:color w:val="00A499"/>
          <w:lang w:val="cs-CZ"/>
        </w:rPr>
        <w:t>chipletové</w:t>
      </w:r>
      <w:proofErr w:type="spellEnd"/>
      <w:r w:rsidRPr="00627931">
        <w:rPr>
          <w:color w:val="00A499"/>
          <w:lang w:val="cs-CZ"/>
        </w:rPr>
        <w:t xml:space="preserve"> technologii mají řádově větší </w:t>
      </w:r>
      <w:proofErr w:type="spellStart"/>
      <w:r w:rsidRPr="00627931">
        <w:rPr>
          <w:color w:val="00A499"/>
          <w:lang w:val="cs-CZ"/>
        </w:rPr>
        <w:t>cache</w:t>
      </w:r>
      <w:proofErr w:type="spellEnd"/>
      <w:r w:rsidR="00993F26" w:rsidRPr="00627931">
        <w:rPr>
          <w:color w:val="00A499"/>
          <w:lang w:val="cs-CZ"/>
        </w:rPr>
        <w:t>.</w:t>
      </w:r>
    </w:p>
    <w:p w14:paraId="6D10DAA2" w14:textId="07861216" w:rsidR="00993F26" w:rsidRPr="00D36566" w:rsidRDefault="004D42C4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S nástupem </w:t>
      </w:r>
      <w:proofErr w:type="spellStart"/>
      <w:r w:rsidRPr="00D36566">
        <w:rPr>
          <w:lang w:val="cs-CZ"/>
        </w:rPr>
        <w:t>chipletové</w:t>
      </w:r>
      <w:proofErr w:type="spellEnd"/>
      <w:r w:rsidRPr="00D36566">
        <w:rPr>
          <w:lang w:val="cs-CZ"/>
        </w:rPr>
        <w:t xml:space="preserve"> technologie začal výrobce procesorů AMD jako první nabízet procesor s obrovskou L3 </w:t>
      </w:r>
      <w:proofErr w:type="spellStart"/>
      <w:r w:rsidRPr="00D36566">
        <w:rPr>
          <w:lang w:val="cs-CZ"/>
        </w:rPr>
        <w:t>cache</w:t>
      </w:r>
      <w:proofErr w:type="spellEnd"/>
      <w:r w:rsidRPr="00D36566">
        <w:rPr>
          <w:lang w:val="cs-CZ"/>
        </w:rPr>
        <w:t xml:space="preserve">. Jedná se o parametr, který zásadně ovlivní optimalizace kódu pro výpočetně náročné úlohy. Tato </w:t>
      </w:r>
      <w:proofErr w:type="spellStart"/>
      <w:r w:rsidRPr="00D36566">
        <w:rPr>
          <w:lang w:val="cs-CZ"/>
        </w:rPr>
        <w:t>partice</w:t>
      </w:r>
      <w:proofErr w:type="spellEnd"/>
      <w:r w:rsidRPr="00D36566">
        <w:rPr>
          <w:lang w:val="cs-CZ"/>
        </w:rPr>
        <w:t xml:space="preserve"> umožní uživatelům připravit jejich kódy na tento nový typ procesorů. </w:t>
      </w:r>
    </w:p>
    <w:p w14:paraId="209BA670" w14:textId="2099755F" w:rsidR="00893AEB" w:rsidRPr="00627931" w:rsidRDefault="00893AEB" w:rsidP="00233A2A">
      <w:pPr>
        <w:pStyle w:val="Nadpis2"/>
        <w:numPr>
          <w:ilvl w:val="0"/>
          <w:numId w:val="0"/>
        </w:numPr>
        <w:ind w:left="432" w:hanging="432"/>
        <w:jc w:val="both"/>
        <w:rPr>
          <w:color w:val="00A499"/>
          <w:lang w:val="cs-CZ"/>
        </w:rPr>
      </w:pPr>
      <w:proofErr w:type="spellStart"/>
      <w:r w:rsidRPr="00627931">
        <w:rPr>
          <w:b/>
          <w:bCs/>
          <w:color w:val="00A499"/>
          <w:lang w:val="cs-CZ"/>
        </w:rPr>
        <w:t>Partice</w:t>
      </w:r>
      <w:proofErr w:type="spellEnd"/>
      <w:r w:rsidRPr="00627931">
        <w:rPr>
          <w:b/>
          <w:bCs/>
          <w:color w:val="00A499"/>
          <w:lang w:val="cs-CZ"/>
        </w:rPr>
        <w:t xml:space="preserve"> 3:</w:t>
      </w:r>
      <w:r w:rsidRPr="00627931">
        <w:rPr>
          <w:color w:val="00A499"/>
          <w:lang w:val="cs-CZ"/>
        </w:rPr>
        <w:t xml:space="preserve"> </w:t>
      </w:r>
      <w:r w:rsidR="00993F26" w:rsidRPr="00627931">
        <w:rPr>
          <w:color w:val="00A499"/>
          <w:lang w:val="cs-CZ"/>
        </w:rPr>
        <w:t>V</w:t>
      </w:r>
      <w:r w:rsidRPr="00627931">
        <w:rPr>
          <w:color w:val="00A499"/>
          <w:lang w:val="cs-CZ"/>
        </w:rPr>
        <w:t xml:space="preserve">ýkonné procesory založené na </w:t>
      </w:r>
      <w:proofErr w:type="spellStart"/>
      <w:r w:rsidRPr="00627931">
        <w:rPr>
          <w:color w:val="00A499"/>
          <w:lang w:val="cs-CZ"/>
        </w:rPr>
        <w:t>Power</w:t>
      </w:r>
      <w:proofErr w:type="spellEnd"/>
      <w:r w:rsidRPr="00627931">
        <w:rPr>
          <w:color w:val="00A499"/>
          <w:lang w:val="cs-CZ"/>
        </w:rPr>
        <w:t xml:space="preserve"> architektuře, zde konkrétně Power10</w:t>
      </w:r>
      <w:r w:rsidR="00993F26" w:rsidRPr="00627931">
        <w:rPr>
          <w:color w:val="00A499"/>
          <w:lang w:val="cs-CZ"/>
        </w:rPr>
        <w:t>.</w:t>
      </w:r>
    </w:p>
    <w:p w14:paraId="0ABFF1E2" w14:textId="554033A2" w:rsidR="00993F26" w:rsidRPr="00D36566" w:rsidRDefault="00993F26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Procesory založené na architektuře </w:t>
      </w:r>
      <w:proofErr w:type="spellStart"/>
      <w:r w:rsidRPr="00D36566">
        <w:rPr>
          <w:lang w:val="cs-CZ"/>
        </w:rPr>
        <w:t>Power</w:t>
      </w:r>
      <w:proofErr w:type="spellEnd"/>
      <w:r w:rsidRPr="00D36566">
        <w:rPr>
          <w:lang w:val="cs-CZ"/>
        </w:rPr>
        <w:t xml:space="preserve"> jsou mimo jiné používány v USA, kde jsou této technologii vybudovány počítače Summit či Sierra</w:t>
      </w:r>
      <w:r w:rsidR="00736143" w:rsidRPr="00D36566">
        <w:rPr>
          <w:lang w:val="cs-CZ"/>
        </w:rPr>
        <w:t xml:space="preserve"> (Summit byl č.1 do roku 2019 a současně je na 4. pozici, Sierra o stupeň horší). </w:t>
      </w:r>
      <w:r w:rsidR="004D42C4" w:rsidRPr="00D36566">
        <w:rPr>
          <w:lang w:val="cs-CZ"/>
        </w:rPr>
        <w:t xml:space="preserve">Jedná se tedy jak historicky tak do budoucna o důležitou HPC technologii a je nutné nabídnou uživatelům vývojové prostředí. </w:t>
      </w:r>
    </w:p>
    <w:p w14:paraId="57006092" w14:textId="77777777" w:rsidR="00B82D81" w:rsidRPr="00627931" w:rsidRDefault="00893AEB" w:rsidP="00233A2A">
      <w:pPr>
        <w:pStyle w:val="Nadpis2"/>
        <w:numPr>
          <w:ilvl w:val="0"/>
          <w:numId w:val="0"/>
        </w:numPr>
        <w:ind w:left="432" w:hanging="432"/>
        <w:jc w:val="both"/>
        <w:rPr>
          <w:color w:val="00A499"/>
          <w:lang w:val="cs-CZ"/>
        </w:rPr>
      </w:pPr>
      <w:proofErr w:type="spellStart"/>
      <w:r w:rsidRPr="00627931">
        <w:rPr>
          <w:b/>
          <w:bCs/>
          <w:color w:val="00A499"/>
          <w:lang w:val="cs-CZ"/>
        </w:rPr>
        <w:t>Partice</w:t>
      </w:r>
      <w:proofErr w:type="spellEnd"/>
      <w:r w:rsidRPr="00627931">
        <w:rPr>
          <w:b/>
          <w:bCs/>
          <w:color w:val="00A499"/>
          <w:lang w:val="cs-CZ"/>
        </w:rPr>
        <w:t xml:space="preserve"> 4:</w:t>
      </w:r>
      <w:r w:rsidRPr="00627931">
        <w:rPr>
          <w:color w:val="00A499"/>
          <w:lang w:val="cs-CZ"/>
        </w:rPr>
        <w:t xml:space="preserve"> </w:t>
      </w:r>
      <w:r w:rsidR="00993F26" w:rsidRPr="00627931">
        <w:rPr>
          <w:color w:val="00A499"/>
          <w:lang w:val="cs-CZ"/>
        </w:rPr>
        <w:t>V</w:t>
      </w:r>
      <w:r w:rsidRPr="00627931">
        <w:rPr>
          <w:color w:val="00A499"/>
          <w:lang w:val="cs-CZ"/>
        </w:rPr>
        <w:t>irtuální GPU akcelerované pracovní stanice</w:t>
      </w:r>
      <w:r w:rsidR="00B82D81" w:rsidRPr="00627931">
        <w:rPr>
          <w:color w:val="00A499"/>
          <w:lang w:val="cs-CZ"/>
        </w:rPr>
        <w:t>.</w:t>
      </w:r>
    </w:p>
    <w:p w14:paraId="1E461BB8" w14:textId="58A34527" w:rsidR="00B82D81" w:rsidRDefault="00B82D81" w:rsidP="00233A2A">
      <w:pPr>
        <w:pBdr>
          <w:bottom w:val="single" w:sz="4" w:space="1" w:color="auto"/>
        </w:pBd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 xml:space="preserve">Jsou primárně určeny </w:t>
      </w:r>
      <w:r w:rsidR="00893AEB" w:rsidRPr="00D36566">
        <w:rPr>
          <w:lang w:val="cs-CZ"/>
        </w:rPr>
        <w:t>uživatelům</w:t>
      </w:r>
      <w:r w:rsidRPr="00D36566">
        <w:rPr>
          <w:lang w:val="cs-CZ"/>
        </w:rPr>
        <w:t xml:space="preserve"> pro</w:t>
      </w:r>
      <w:r w:rsidR="00893AEB" w:rsidRPr="00D36566">
        <w:rPr>
          <w:lang w:val="cs-CZ"/>
        </w:rPr>
        <w:t xml:space="preserve"> </w:t>
      </w:r>
      <w:r w:rsidR="00993F26" w:rsidRPr="00D36566">
        <w:rPr>
          <w:lang w:val="cs-CZ"/>
        </w:rPr>
        <w:t>efektivní „</w:t>
      </w:r>
      <w:proofErr w:type="spellStart"/>
      <w:r w:rsidR="00993F26" w:rsidRPr="00D36566">
        <w:rPr>
          <w:lang w:val="cs-CZ"/>
        </w:rPr>
        <w:t>pre-processing</w:t>
      </w:r>
      <w:proofErr w:type="spellEnd"/>
      <w:r w:rsidR="00993F26" w:rsidRPr="00D36566">
        <w:rPr>
          <w:lang w:val="cs-CZ"/>
        </w:rPr>
        <w:t>“ a „post-</w:t>
      </w:r>
      <w:proofErr w:type="spellStart"/>
      <w:r w:rsidR="00993F26" w:rsidRPr="00D36566">
        <w:rPr>
          <w:lang w:val="cs-CZ"/>
        </w:rPr>
        <w:t>processing</w:t>
      </w:r>
      <w:proofErr w:type="spellEnd"/>
      <w:r w:rsidR="00993F26" w:rsidRPr="00D36566">
        <w:rPr>
          <w:lang w:val="cs-CZ"/>
        </w:rPr>
        <w:t>“</w:t>
      </w:r>
      <w:r w:rsidRPr="00D36566">
        <w:rPr>
          <w:lang w:val="cs-CZ"/>
        </w:rPr>
        <w:t xml:space="preserve"> úloh nebo modelů pro rozsáhlé simulace nebo výpočty. Cílem je dát uživatelům prostředky pro velmi výkonn</w:t>
      </w:r>
      <w:r w:rsidR="004D42C4" w:rsidRPr="00D36566">
        <w:rPr>
          <w:lang w:val="cs-CZ"/>
        </w:rPr>
        <w:t>é</w:t>
      </w:r>
      <w:r w:rsidRPr="00D36566">
        <w:rPr>
          <w:lang w:val="cs-CZ"/>
        </w:rPr>
        <w:t xml:space="preserve"> </w:t>
      </w:r>
      <w:r w:rsidR="004D42C4" w:rsidRPr="00D36566">
        <w:rPr>
          <w:lang w:val="cs-CZ"/>
        </w:rPr>
        <w:t>virtuální prostředí se schopností přenosu obrazu s minimální latencí a maximálním výkonem – tedy snahou je</w:t>
      </w:r>
      <w:r w:rsidR="00A3651C">
        <w:rPr>
          <w:lang w:val="cs-CZ"/>
        </w:rPr>
        <w:t> </w:t>
      </w:r>
      <w:r w:rsidR="004D42C4" w:rsidRPr="00D36566">
        <w:rPr>
          <w:lang w:val="cs-CZ"/>
        </w:rPr>
        <w:t xml:space="preserve">poskytnout maximální uživatelský komfort pro pohodlnou práci se vzdálenou pracovní plochou, s hardwarovou akcelerací 3D aplikací. </w:t>
      </w:r>
    </w:p>
    <w:p w14:paraId="552C8D4C" w14:textId="77777777" w:rsidR="00233A2A" w:rsidRDefault="00233A2A" w:rsidP="00233A2A">
      <w:pPr>
        <w:pBdr>
          <w:bottom w:val="single" w:sz="4" w:space="1" w:color="auto"/>
        </w:pBdr>
        <w:spacing w:after="120" w:line="240" w:lineRule="auto"/>
        <w:jc w:val="both"/>
        <w:rPr>
          <w:lang w:val="cs-CZ"/>
        </w:rPr>
      </w:pPr>
    </w:p>
    <w:p w14:paraId="38D2BE2D" w14:textId="74A46F45" w:rsidR="00B82D81" w:rsidRPr="00D36566" w:rsidRDefault="00B82D81" w:rsidP="00233A2A">
      <w:pPr>
        <w:spacing w:after="120" w:line="240" w:lineRule="auto"/>
        <w:jc w:val="both"/>
        <w:rPr>
          <w:lang w:val="cs-CZ"/>
        </w:rPr>
      </w:pPr>
      <w:r w:rsidRPr="00D36566">
        <w:rPr>
          <w:lang w:val="cs-CZ"/>
        </w:rPr>
        <w:t>Obchodní označení konkrétních výrobků bylo užito s cílem zajistit naplnění cílů projektu, z důvodů technických vazeb a technologických výlučností je z výše uvedených důvodu potřebné cílit na konkrétní produkty.</w:t>
      </w:r>
    </w:p>
    <w:bookmarkEnd w:id="0"/>
    <w:sectPr w:rsidR="00B82D81" w:rsidRPr="00D36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F7676" w14:textId="77777777" w:rsidR="00FC0C07" w:rsidRDefault="00FC0C07" w:rsidP="00D21A75">
      <w:pPr>
        <w:spacing w:after="0" w:line="240" w:lineRule="auto"/>
      </w:pPr>
      <w:r>
        <w:separator/>
      </w:r>
    </w:p>
  </w:endnote>
  <w:endnote w:type="continuationSeparator" w:id="0">
    <w:p w14:paraId="46D6DE60" w14:textId="77777777" w:rsidR="00FC0C07" w:rsidRDefault="00FC0C07" w:rsidP="00D21A75">
      <w:pPr>
        <w:spacing w:after="0" w:line="240" w:lineRule="auto"/>
      </w:pPr>
      <w:r>
        <w:continuationSeparator/>
      </w:r>
    </w:p>
  </w:endnote>
  <w:endnote w:type="continuationNotice" w:id="1">
    <w:p w14:paraId="614D3B20" w14:textId="77777777" w:rsidR="00FC0C07" w:rsidRDefault="00FC0C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D1EF1" w14:textId="77777777" w:rsidR="00FC0C07" w:rsidRDefault="00FC0C07" w:rsidP="00D21A75">
      <w:pPr>
        <w:spacing w:after="0" w:line="240" w:lineRule="auto"/>
      </w:pPr>
      <w:r>
        <w:separator/>
      </w:r>
    </w:p>
  </w:footnote>
  <w:footnote w:type="continuationSeparator" w:id="0">
    <w:p w14:paraId="31B082A8" w14:textId="77777777" w:rsidR="00FC0C07" w:rsidRDefault="00FC0C07" w:rsidP="00D21A75">
      <w:pPr>
        <w:spacing w:after="0" w:line="240" w:lineRule="auto"/>
      </w:pPr>
      <w:r>
        <w:continuationSeparator/>
      </w:r>
    </w:p>
  </w:footnote>
  <w:footnote w:type="continuationNotice" w:id="1">
    <w:p w14:paraId="6D7867EF" w14:textId="77777777" w:rsidR="00FC0C07" w:rsidRDefault="00FC0C07">
      <w:pPr>
        <w:spacing w:after="0" w:line="240" w:lineRule="auto"/>
      </w:pPr>
    </w:p>
  </w:footnote>
  <w:footnote w:id="2">
    <w:p w14:paraId="651B47B9" w14:textId="29357D0B" w:rsidR="00D21A75" w:rsidRPr="00233A2A" w:rsidRDefault="00D21A7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B4565E">
        <w:t xml:space="preserve">ALPS Supercomputer </w:t>
      </w:r>
      <w:hyperlink r:id="rId1" w:history="1">
        <w:r w:rsidR="00B4565E" w:rsidRPr="00627931">
          <w:rPr>
            <w:rStyle w:val="Hypertextovodkaz"/>
            <w:color w:val="00A499"/>
          </w:rPr>
          <w:t>https://www.cscs.ch/science/computer-science-hpc/2021/cscs-hewlett-packard-enterprise-and-nvidia-announce-worlds-most-powerful-ai-capable-supercomputer/</w:t>
        </w:r>
      </w:hyperlink>
      <w:r w:rsidRPr="00627931">
        <w:rPr>
          <w:color w:val="00A499"/>
        </w:rPr>
        <w:t xml:space="preserve"> </w:t>
      </w:r>
    </w:p>
  </w:footnote>
  <w:footnote w:id="3">
    <w:p w14:paraId="4448E9BE" w14:textId="69F75FA2" w:rsidR="00B4565E" w:rsidRPr="00B4565E" w:rsidRDefault="00B4565E" w:rsidP="00B4565E">
      <w:pPr>
        <w:pStyle w:val="Textpoznpodarou"/>
      </w:pPr>
      <w:r>
        <w:rPr>
          <w:rStyle w:val="Znakapoznpodarou"/>
        </w:rPr>
        <w:footnoteRef/>
      </w:r>
      <w:r>
        <w:t xml:space="preserve"> Data Processing Units (DPU) </w:t>
      </w:r>
      <w:hyperlink r:id="rId2" w:history="1">
        <w:r w:rsidRPr="00627931">
          <w:rPr>
            <w:rStyle w:val="Hypertextovodkaz"/>
            <w:color w:val="00A499"/>
          </w:rPr>
          <w:t>https://www.nvidia.com/en-us/networking/products/data-processing-unit/</w:t>
        </w:r>
      </w:hyperlink>
      <w:r w:rsidRPr="00627931">
        <w:rPr>
          <w:color w:val="00A499"/>
        </w:rPr>
        <w:t xml:space="preserve"> </w:t>
      </w:r>
    </w:p>
  </w:footnote>
  <w:footnote w:id="4">
    <w:p w14:paraId="040D2799" w14:textId="7E2852EA" w:rsidR="00B4565E" w:rsidRPr="00B4565E" w:rsidRDefault="00B4565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4565E">
        <w:t>Arm HPC Developer Kit</w:t>
      </w:r>
      <w:r>
        <w:t xml:space="preserve"> </w:t>
      </w:r>
      <w:hyperlink r:id="rId3" w:history="1">
        <w:r w:rsidRPr="00627931">
          <w:rPr>
            <w:rStyle w:val="Hypertextovodkaz"/>
            <w:color w:val="00A499"/>
          </w:rPr>
          <w:t>https://developer.nvidia.com/arm-hpc-devkit</w:t>
        </w:r>
      </w:hyperlink>
      <w:r w:rsidRPr="00627931">
        <w:rPr>
          <w:color w:val="00A499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C0B35"/>
    <w:multiLevelType w:val="multilevel"/>
    <w:tmpl w:val="12941876"/>
    <w:lvl w:ilvl="0">
      <w:start w:val="1"/>
      <w:numFmt w:val="decimal"/>
      <w:pStyle w:val="Nadpis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5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13A23FE"/>
    <w:multiLevelType w:val="hybridMultilevel"/>
    <w:tmpl w:val="FC26D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F237C"/>
    <w:multiLevelType w:val="hybridMultilevel"/>
    <w:tmpl w:val="0C90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D2C14"/>
    <w:multiLevelType w:val="hybridMultilevel"/>
    <w:tmpl w:val="FB743AC6"/>
    <w:lvl w:ilvl="0" w:tplc="2D7EBE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294591">
    <w:abstractNumId w:val="0"/>
  </w:num>
  <w:num w:numId="2" w16cid:durableId="870992089">
    <w:abstractNumId w:val="2"/>
  </w:num>
  <w:num w:numId="3" w16cid:durableId="1486165656">
    <w:abstractNumId w:val="1"/>
  </w:num>
  <w:num w:numId="4" w16cid:durableId="906456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5B0"/>
    <w:rsid w:val="000B5AAA"/>
    <w:rsid w:val="000E6869"/>
    <w:rsid w:val="0015734A"/>
    <w:rsid w:val="001A0C54"/>
    <w:rsid w:val="001A3E34"/>
    <w:rsid w:val="001F21FB"/>
    <w:rsid w:val="00233A2A"/>
    <w:rsid w:val="002D7665"/>
    <w:rsid w:val="0036401A"/>
    <w:rsid w:val="0037046A"/>
    <w:rsid w:val="00382CF0"/>
    <w:rsid w:val="003A41D6"/>
    <w:rsid w:val="003D3406"/>
    <w:rsid w:val="00452BEB"/>
    <w:rsid w:val="00474EA3"/>
    <w:rsid w:val="004D42C4"/>
    <w:rsid w:val="004E365D"/>
    <w:rsid w:val="00514B4E"/>
    <w:rsid w:val="005D78DA"/>
    <w:rsid w:val="005F1AD9"/>
    <w:rsid w:val="00601E4E"/>
    <w:rsid w:val="00616460"/>
    <w:rsid w:val="00627931"/>
    <w:rsid w:val="00642161"/>
    <w:rsid w:val="00696B13"/>
    <w:rsid w:val="006A48CF"/>
    <w:rsid w:val="006F6458"/>
    <w:rsid w:val="007045B0"/>
    <w:rsid w:val="00721A48"/>
    <w:rsid w:val="00736143"/>
    <w:rsid w:val="007621F1"/>
    <w:rsid w:val="00764DD6"/>
    <w:rsid w:val="00797378"/>
    <w:rsid w:val="007E751D"/>
    <w:rsid w:val="008263DF"/>
    <w:rsid w:val="00876A8A"/>
    <w:rsid w:val="00881BAE"/>
    <w:rsid w:val="00885095"/>
    <w:rsid w:val="00893AEB"/>
    <w:rsid w:val="008C3A01"/>
    <w:rsid w:val="00993F26"/>
    <w:rsid w:val="00A11CAA"/>
    <w:rsid w:val="00A3651C"/>
    <w:rsid w:val="00AF5096"/>
    <w:rsid w:val="00B11E42"/>
    <w:rsid w:val="00B4565E"/>
    <w:rsid w:val="00B82D81"/>
    <w:rsid w:val="00B902A6"/>
    <w:rsid w:val="00BF57D6"/>
    <w:rsid w:val="00C71756"/>
    <w:rsid w:val="00D06968"/>
    <w:rsid w:val="00D21A75"/>
    <w:rsid w:val="00D25038"/>
    <w:rsid w:val="00D36566"/>
    <w:rsid w:val="00D45DD1"/>
    <w:rsid w:val="00D65436"/>
    <w:rsid w:val="00D74C18"/>
    <w:rsid w:val="00D8313F"/>
    <w:rsid w:val="00DA7ABD"/>
    <w:rsid w:val="00DD44C1"/>
    <w:rsid w:val="00EE3F27"/>
    <w:rsid w:val="00F07CFD"/>
    <w:rsid w:val="00F169BB"/>
    <w:rsid w:val="00F40E28"/>
    <w:rsid w:val="00F46F1D"/>
    <w:rsid w:val="00F66BDA"/>
    <w:rsid w:val="00F976B6"/>
    <w:rsid w:val="00FC0C07"/>
    <w:rsid w:val="00FE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B741"/>
  <w15:chartTrackingRefBased/>
  <w15:docId w15:val="{C78639B5-E96F-4FA9-9874-D1A27B72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7ABD"/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33A2A"/>
    <w:pPr>
      <w:keepNext/>
      <w:keepLines/>
      <w:spacing w:before="240" w:after="12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3A2A"/>
    <w:pPr>
      <w:keepNext/>
      <w:keepLines/>
      <w:numPr>
        <w:numId w:val="1"/>
      </w:numPr>
      <w:spacing w:before="240" w:after="120" w:line="240" w:lineRule="auto"/>
      <w:ind w:left="431" w:hanging="431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7ABD"/>
    <w:pPr>
      <w:keepNext/>
      <w:keepLines/>
      <w:numPr>
        <w:ilvl w:val="1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A7ABD"/>
    <w:pPr>
      <w:keepNext/>
      <w:keepLines/>
      <w:numPr>
        <w:ilvl w:val="2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7ABD"/>
    <w:pPr>
      <w:keepNext/>
      <w:keepLines/>
      <w:numPr>
        <w:ilvl w:val="3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7AB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7AB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7AB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33A2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rsid w:val="00DA7AB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A7ABD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7ABD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7ABD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7ABD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7A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Odstavecseseznamem">
    <w:name w:val="List Paragraph"/>
    <w:aliases w:val="Odstavec cíl se seznamem,Odstavec se seznamem1,nad 1,Název grafu"/>
    <w:basedOn w:val="Normln"/>
    <w:link w:val="OdstavecseseznamemChar"/>
    <w:uiPriority w:val="34"/>
    <w:qFormat/>
    <w:rsid w:val="00DA7ABD"/>
    <w:pPr>
      <w:spacing w:after="0" w:line="240" w:lineRule="auto"/>
      <w:ind w:left="720"/>
      <w:contextualSpacing/>
    </w:pPr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7A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7ABD"/>
    <w:rPr>
      <w:sz w:val="20"/>
      <w:szCs w:val="20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A7ABD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A7ABD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 cíl se seznamem Char,Odstavec se seznamem1 Char,nad 1 Char,Název grafu Char"/>
    <w:basedOn w:val="Standardnpsmoodstavce"/>
    <w:link w:val="Odstavecseseznamem"/>
    <w:uiPriority w:val="34"/>
    <w:qFormat/>
    <w:locked/>
    <w:rsid w:val="00DA7ABD"/>
    <w:rPr>
      <w:sz w:val="24"/>
      <w:szCs w:val="24"/>
      <w:lang w:val="en-US"/>
    </w:rPr>
  </w:style>
  <w:style w:type="character" w:styleId="Nevyeenzmnka">
    <w:name w:val="Unresolved Mention"/>
    <w:basedOn w:val="Standardnpsmoodstavce"/>
    <w:uiPriority w:val="99"/>
    <w:semiHidden/>
    <w:unhideWhenUsed/>
    <w:rsid w:val="00D21A75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21A7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21A75"/>
    <w:rPr>
      <w:sz w:val="20"/>
      <w:szCs w:val="20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21A75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233A2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Zhlav">
    <w:name w:val="header"/>
    <w:basedOn w:val="Normln"/>
    <w:link w:val="ZhlavChar"/>
    <w:uiPriority w:val="99"/>
    <w:semiHidden/>
    <w:unhideWhenUsed/>
    <w:rsid w:val="00721A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1A48"/>
    <w:rPr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721A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21A4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eveloper.nvidia.com/arm-hpc-devkit" TargetMode="External"/><Relationship Id="rId2" Type="http://schemas.openxmlformats.org/officeDocument/2006/relationships/hyperlink" Target="https://www.nvidia.com/en-us/networking/products/data-processing-unit/" TargetMode="External"/><Relationship Id="rId1" Type="http://schemas.openxmlformats.org/officeDocument/2006/relationships/hyperlink" Target="https://www.cscs.ch/science/computer-science-hpc/2021/cscs-hewlett-packard-enterprise-and-nvidia-announce-worlds-most-powerful-ai-capable-supercomputer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81861BDB63CA40B0C63D69E87A6407" ma:contentTypeVersion="11" ma:contentTypeDescription="Create a new document." ma:contentTypeScope="" ma:versionID="946a6c78b45fae5a509d30c7aa136cf4">
  <xsd:schema xmlns:xsd="http://www.w3.org/2001/XMLSchema" xmlns:xs="http://www.w3.org/2001/XMLSchema" xmlns:p="http://schemas.microsoft.com/office/2006/metadata/properties" xmlns:ns2="a43e42d3-7c16-49c9-9ddf-50572d154c74" xmlns:ns3="96f63cd8-eeb8-4cc1-af98-0f2e550c4af2" targetNamespace="http://schemas.microsoft.com/office/2006/metadata/properties" ma:root="true" ma:fieldsID="0cfae5ba7369d0fd28eb67f630c28e8a" ns2:_="" ns3:_="">
    <xsd:import namespace="a43e42d3-7c16-49c9-9ddf-50572d154c74"/>
    <xsd:import namespace="96f63cd8-eeb8-4cc1-af98-0f2e550c4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e42d3-7c16-49c9-9ddf-50572d154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2107113-769a-4d15-b935-6d8bd9557b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63cd8-eeb8-4cc1-af98-0f2e550c4af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3496440-952e-4126-a69e-74b4f518b8ce}" ma:internalName="TaxCatchAll" ma:showField="CatchAllData" ma:web="96f63cd8-eeb8-4cc1-af98-0f2e550c4a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e42d3-7c16-49c9-9ddf-50572d154c74">
      <Terms xmlns="http://schemas.microsoft.com/office/infopath/2007/PartnerControls"/>
    </lcf76f155ced4ddcb4097134ff3c332f>
    <TaxCatchAll xmlns="96f63cd8-eeb8-4cc1-af98-0f2e550c4af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6DB4A-5815-497D-A263-7F387A95F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e42d3-7c16-49c9-9ddf-50572d154c74"/>
    <ds:schemaRef ds:uri="96f63cd8-eeb8-4cc1-af98-0f2e550c4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84E19-8597-4B75-98B2-F31F0D886127}">
  <ds:schemaRefs>
    <ds:schemaRef ds:uri="http://schemas.microsoft.com/office/2006/metadata/properties"/>
    <ds:schemaRef ds:uri="http://schemas.microsoft.com/office/infopath/2007/PartnerControls"/>
    <ds:schemaRef ds:uri="a43e42d3-7c16-49c9-9ddf-50572d154c74"/>
    <ds:schemaRef ds:uri="96f63cd8-eeb8-4cc1-af98-0f2e550c4af2"/>
  </ds:schemaRefs>
</ds:datastoreItem>
</file>

<file path=customXml/itemProps3.xml><?xml version="1.0" encoding="utf-8"?>
<ds:datastoreItem xmlns:ds="http://schemas.openxmlformats.org/officeDocument/2006/customXml" ds:itemID="{FAF21E90-9369-0D49-88F2-67F1319DC7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91CD31-9252-46C2-973B-E7B23AA666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960</Words>
  <Characters>5665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6612</CharactersWithSpaces>
  <SharedDoc>false</SharedDoc>
  <HLinks>
    <vt:vector size="42" baseType="variant">
      <vt:variant>
        <vt:i4>5767263</vt:i4>
      </vt:variant>
      <vt:variant>
        <vt:i4>9</vt:i4>
      </vt:variant>
      <vt:variant>
        <vt:i4>0</vt:i4>
      </vt:variant>
      <vt:variant>
        <vt:i4>5</vt:i4>
      </vt:variant>
      <vt:variant>
        <vt:lpwstr>https://www.top500.org/system/179807/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https://forums.xilinx.com/t5/Xilinx-Xclusive-Blog/AMD-and-Xilinx-Demonstrate-Converged-ROCm-Runtime-Technology/ba-p/1175091</vt:lpwstr>
      </vt:variant>
      <vt:variant>
        <vt:lpwstr/>
      </vt:variant>
      <vt:variant>
        <vt:i4>4063358</vt:i4>
      </vt:variant>
      <vt:variant>
        <vt:i4>3</vt:i4>
      </vt:variant>
      <vt:variant>
        <vt:i4>0</vt:i4>
      </vt:variant>
      <vt:variant>
        <vt:i4>5</vt:i4>
      </vt:variant>
      <vt:variant>
        <vt:lpwstr>https://rocmdocs.amd.com/en/latest/</vt:lpwstr>
      </vt:variant>
      <vt:variant>
        <vt:lpwstr/>
      </vt:variant>
      <vt:variant>
        <vt:i4>7536687</vt:i4>
      </vt:variant>
      <vt:variant>
        <vt:i4>0</vt:i4>
      </vt:variant>
      <vt:variant>
        <vt:i4>0</vt:i4>
      </vt:variant>
      <vt:variant>
        <vt:i4>5</vt:i4>
      </vt:variant>
      <vt:variant>
        <vt:lpwstr>https://software.intel.com/content/www/us/en/develop/tools/oneapi.html</vt:lpwstr>
      </vt:variant>
      <vt:variant>
        <vt:lpwstr/>
      </vt:variant>
      <vt:variant>
        <vt:i4>3407920</vt:i4>
      </vt:variant>
      <vt:variant>
        <vt:i4>6</vt:i4>
      </vt:variant>
      <vt:variant>
        <vt:i4>0</vt:i4>
      </vt:variant>
      <vt:variant>
        <vt:i4>5</vt:i4>
      </vt:variant>
      <vt:variant>
        <vt:lpwstr>https://developer.nvidia.com/arm-hpc-devkit</vt:lpwstr>
      </vt:variant>
      <vt:variant>
        <vt:lpwstr/>
      </vt:variant>
      <vt:variant>
        <vt:i4>3473531</vt:i4>
      </vt:variant>
      <vt:variant>
        <vt:i4>3</vt:i4>
      </vt:variant>
      <vt:variant>
        <vt:i4>0</vt:i4>
      </vt:variant>
      <vt:variant>
        <vt:i4>5</vt:i4>
      </vt:variant>
      <vt:variant>
        <vt:lpwstr>https://www.nvidia.com/en-us/networking/products/data-processing-unit/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https://www.cscs.ch/science/computer-science-hpc/2021/cscs-hewlett-packard-enterprise-and-nvidia-announce-worlds-most-powerful-ai-capable-supercomputer/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Jurena</dc:creator>
  <cp:keywords/>
  <dc:description/>
  <cp:lastModifiedBy>Veronika Rojova</cp:lastModifiedBy>
  <cp:revision>46</cp:revision>
  <dcterms:created xsi:type="dcterms:W3CDTF">2022-11-07T13:23:00Z</dcterms:created>
  <dcterms:modified xsi:type="dcterms:W3CDTF">2022-11-09T09:16:00Z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0x0101004D81861BDB63CA40B0C63D69E87A6407</vt:lpwstr>
  </property>
  <property fmtid="{D5CDD505-2E9C-101B-9397-08002B2CF9AE}" pid="3" name="MediaServiceImageTags">
    <vt:lpwstr/>
  </property>
</Properties>
</file>